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AD4FC">
      <w:pPr>
        <w:jc w:val="center"/>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sz w:val="34"/>
          <w:u w:val="none"/>
          <w14:textFill>
            <w14:solidFill>
              <w14:schemeClr w14:val="tx1"/>
            </w14:solidFill>
          </w14:textFill>
        </w:rPr>
        <w:t>TẬP HỢP VÀ THỐNG KÊ CÁC BÀI BÁO KHOA HỌC</w:t>
      </w:r>
    </w:p>
    <w:p w14:paraId="5CF73AEE">
      <w:pPr>
        <w:jc w:val="center"/>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i/>
          <w:color w:val="000000" w:themeColor="text1"/>
          <w:sz w:val="24"/>
          <w:u w:val="none"/>
          <w14:textFill>
            <w14:solidFill>
              <w14:schemeClr w14:val="tx1"/>
            </w14:solidFill>
          </w14:textFill>
        </w:rPr>
        <w:t>Chủ đề: GNU C Library (glibc) và C++ Standard Library (STL)</w:t>
      </w:r>
    </w:p>
    <w:p w14:paraId="2DB85E58">
      <w:pPr>
        <w:pStyle w:val="2"/>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1. Phạm vi và cách phân loại</w:t>
      </w:r>
    </w:p>
    <w:p w14:paraId="1A21AFD7">
      <w:pPr>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Danh sách dưới đây gồm sáu bài được chọn theo mức độ liên quan đến glibc hoặc STL. Các bài được phân loại là Research Paper (bài nghiên cứu gốc) theo thông tin và mô tả của nguồn công bố. Tài liệu này chưa có Survey Paper được xác minh; vì vậy, không nên xem danh sách là đã đáp ứng yêu cầu bắt buộc phải có cả Research Paper và Survey Paper.</w:t>
      </w:r>
    </w:p>
    <w:p w14:paraId="655E2F97">
      <w:pPr>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Phạm vi được chia thành hai nhóm: (A) C++ Standard Library/STL và (B) GNU C Library/glibc. Một số bài nghiên cứu về bộ cấp phát bộ nhớ tập trung vào malloc của glibc, còn bài về seccomp nghiên cứu mối liên hệ giữa hàm thư viện và system call.</w:t>
      </w:r>
    </w:p>
    <w:p w14:paraId="4CF531A0">
      <w:pPr>
        <w:pStyle w:val="2"/>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A. C++ Standard Library / STL</w:t>
      </w:r>
    </w:p>
    <w:p w14:paraId="01E38448">
      <w:pPr>
        <w:pStyle w:val="3"/>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1. Measuring the Overhead of C++ Standard Template Library Safe Variants</w:t>
      </w:r>
    </w:p>
    <w:p w14:paraId="29E8BECE">
      <w:pPr>
        <w:rPr>
          <w:rFonts w:hint="default" w:ascii="Times New Roman" w:hAnsi="Times New Roman" w:cs="Times New Roman"/>
        </w:rPr>
      </w:pPr>
      <w:r>
        <w:rPr>
          <w:rFonts w:hint="default" w:ascii="Times New Roman" w:hAnsi="Times New Roman" w:cs="Times New Roman"/>
        </w:rPr>
        <w:drawing>
          <wp:inline distT="0" distB="0" distL="114300" distR="114300">
            <wp:extent cx="6390640" cy="3010535"/>
            <wp:effectExtent l="0" t="0" r="1016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390640" cy="3010535"/>
                    </a:xfrm>
                    <a:prstGeom prst="rect">
                      <a:avLst/>
                    </a:prstGeom>
                    <a:noFill/>
                    <a:ln>
                      <a:noFill/>
                    </a:ln>
                  </pic:spPr>
                </pic:pic>
              </a:graphicData>
            </a:graphic>
          </wp:inline>
        </w:drawing>
      </w:r>
    </w:p>
    <w:p w14:paraId="21AB54AB">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Tác giả: </w:t>
      </w:r>
      <w:r>
        <w:rPr>
          <w:rFonts w:hint="default" w:ascii="Times New Roman" w:hAnsi="Times New Roman" w:cs="Times New Roman"/>
          <w:color w:val="000000" w:themeColor="text1"/>
          <w:u w:val="none"/>
          <w14:textFill>
            <w14:solidFill>
              <w14:schemeClr w14:val="tx1"/>
            </w14:solidFill>
          </w14:textFill>
        </w:rPr>
        <w:t>Norbert Pataki, Zalán Szűgyi</w:t>
      </w:r>
      <w:r>
        <w:rPr>
          <w:rFonts w:hint="default" w:ascii="Times New Roman" w:hAnsi="Times New Roman" w:cs="Times New Roman"/>
          <w:color w:val="000000" w:themeColor="text1"/>
          <w:u w:val="none"/>
          <w:lang w:val="en-US"/>
          <w14:textFill>
            <w14:solidFill>
              <w14:schemeClr w14:val="tx1"/>
            </w14:solidFill>
          </w14:textFill>
        </w:rPr>
        <w:t xml:space="preserve"> và</w:t>
      </w:r>
      <w:r>
        <w:rPr>
          <w:rFonts w:hint="default" w:ascii="Times New Roman" w:hAnsi="Times New Roman" w:cs="Times New Roman"/>
          <w:color w:val="000000" w:themeColor="text1"/>
          <w:u w:val="none"/>
          <w14:textFill>
            <w14:solidFill>
              <w14:schemeClr w14:val="tx1"/>
            </w14:solidFill>
          </w14:textFill>
        </w:rPr>
        <w:t xml:space="preserve"> Gergely Dévai</w:t>
      </w:r>
    </w:p>
    <w:p w14:paraId="76C9BCF4">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Năm: </w:t>
      </w:r>
      <w:r>
        <w:rPr>
          <w:rFonts w:hint="default" w:ascii="Times New Roman" w:hAnsi="Times New Roman" w:cs="Times New Roman"/>
          <w:color w:val="000000" w:themeColor="text1"/>
          <w:u w:val="none"/>
          <w14:textFill>
            <w14:solidFill>
              <w14:schemeClr w14:val="tx1"/>
            </w14:solidFill>
          </w14:textFill>
        </w:rPr>
        <w:t>2011</w:t>
      </w:r>
    </w:p>
    <w:p w14:paraId="280A14A4">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Loại bài: </w:t>
      </w:r>
      <w:r>
        <w:rPr>
          <w:rFonts w:hint="default" w:ascii="Times New Roman" w:hAnsi="Times New Roman" w:cs="Times New Roman"/>
          <w:color w:val="000000" w:themeColor="text1"/>
          <w:u w:val="none"/>
          <w14:textFill>
            <w14:solidFill>
              <w14:schemeClr w14:val="tx1"/>
            </w14:solidFill>
          </w14:textFill>
        </w:rPr>
        <w:t>Research Paper</w:t>
      </w:r>
    </w:p>
    <w:p w14:paraId="33412820">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Tóm tắt nội dung: </w:t>
      </w:r>
      <w:r>
        <w:rPr>
          <w:rFonts w:hint="default" w:ascii="Times New Roman" w:hAnsi="Times New Roman" w:cs="Times New Roman"/>
          <w:color w:val="000000" w:themeColor="text1"/>
          <w:u w:val="none"/>
          <w14:textFill>
            <w14:solidFill>
              <w14:schemeClr w14:val="tx1"/>
            </w14:solidFill>
          </w14:textFill>
        </w:rPr>
        <w:t>Nghiên cứu các biến thể STL an toàn hơn, đặc biệt liên quan đến iterator và thao tác với container.</w:t>
      </w:r>
    </w:p>
    <w:p w14:paraId="41CB47B9">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Phương pháp/đóng góp: </w:t>
      </w:r>
      <w:r>
        <w:rPr>
          <w:rFonts w:hint="default" w:ascii="Times New Roman" w:hAnsi="Times New Roman" w:cs="Times New Roman"/>
          <w:color w:val="000000" w:themeColor="text1"/>
          <w:u w:val="none"/>
          <w14:textFill>
            <w14:solidFill>
              <w14:schemeClr w14:val="tx1"/>
            </w14:solidFill>
          </w14:textFill>
        </w:rPr>
        <w:t>Đề xuất các phần mở rộng hỗ trợ an toàn và đo lường chi phí hiệu năng khi sử dụng chúng.</w:t>
      </w:r>
    </w:p>
    <w:p w14:paraId="643BA511">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Mức độ liên quan: </w:t>
      </w:r>
      <w:r>
        <w:rPr>
          <w:rFonts w:hint="default" w:ascii="Times New Roman" w:hAnsi="Times New Roman" w:cs="Times New Roman"/>
          <w:color w:val="000000" w:themeColor="text1"/>
          <w:u w:val="none"/>
          <w14:textFill>
            <w14:solidFill>
              <w14:schemeClr w14:val="tx1"/>
            </w14:solidFill>
          </w14:textFill>
        </w:rPr>
        <w:t>Liên quan trực tiếp đến container, iterator, độ an toàn và hiệu năng của STL.</w:t>
      </w:r>
    </w:p>
    <w:p w14:paraId="38E24B55">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lang w:val="en-US"/>
          <w14:textFill>
            <w14:solidFill>
              <w14:schemeClr w14:val="tx1"/>
            </w14:solidFill>
          </w14:textFill>
        </w:rPr>
        <w:t>Nguồn</w:t>
      </w:r>
      <w:r>
        <w:rPr>
          <w:rFonts w:hint="default" w:ascii="Times New Roman" w:hAnsi="Times New Roman" w:cs="Times New Roman"/>
          <w:b/>
          <w:color w:val="000000" w:themeColor="text1"/>
          <w:u w:val="none"/>
          <w14:textFill>
            <w14:solidFill>
              <w14:schemeClr w14:val="tx1"/>
            </w14:solidFill>
          </w14:textFill>
        </w:rPr>
        <w:t xml:space="preserve">: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"https://www.sciencedirect.com/science/article/pii/S1571066111000764"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rPr>
        <w:t>https://www.sciencedirect.com/science/article/pii/S1571066111000764</w:t>
      </w:r>
      <w:r>
        <w:rPr>
          <w:rFonts w:hint="default" w:ascii="Times New Roman" w:hAnsi="Times New Roman" w:cs="Times New Roman"/>
          <w:color w:val="000000" w:themeColor="text1"/>
          <w:u w:val="none"/>
          <w14:textFill>
            <w14:solidFill>
              <w14:schemeClr w14:val="tx1"/>
            </w14:solidFill>
          </w14:textFill>
        </w:rPr>
        <w:fldChar w:fldCharType="end"/>
      </w:r>
    </w:p>
    <w:p w14:paraId="24100553">
      <w:pPr>
        <w:pStyle w:val="3"/>
        <w:numPr>
          <w:ilvl w:val="0"/>
          <w:numId w:val="7"/>
        </w:numPr>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pSTL-Bench: A Micro-Benchmark Suite for Assessing Scalability of C++ Parallel STL Implementations</w:t>
      </w:r>
      <w:bookmarkStart w:id="0" w:name="_GoBack"/>
      <w:bookmarkEnd w:id="0"/>
    </w:p>
    <w:p w14:paraId="0E56DED2">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389370" cy="3054985"/>
            <wp:effectExtent l="0" t="0" r="1143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389370" cy="3054985"/>
                    </a:xfrm>
                    <a:prstGeom prst="rect">
                      <a:avLst/>
                    </a:prstGeom>
                    <a:noFill/>
                    <a:ln>
                      <a:noFill/>
                    </a:ln>
                  </pic:spPr>
                </pic:pic>
              </a:graphicData>
            </a:graphic>
          </wp:inline>
        </w:drawing>
      </w:r>
    </w:p>
    <w:p w14:paraId="0BAD8531">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Tác giả: </w:t>
      </w:r>
      <w:r>
        <w:rPr>
          <w:rFonts w:hint="default" w:ascii="Times New Roman" w:hAnsi="Times New Roman" w:cs="Times New Roman"/>
          <w:color w:val="000000" w:themeColor="text1"/>
          <w:u w:val="none"/>
          <w14:textFill>
            <w14:solidFill>
              <w14:schemeClr w14:val="tx1"/>
            </w14:solidFill>
          </w14:textFill>
        </w:rPr>
        <w:t>Ruben Laso, Diego Krupitza, Sascha Hunold</w:t>
      </w:r>
    </w:p>
    <w:p w14:paraId="388F8C0A">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Năm: </w:t>
      </w:r>
      <w:r>
        <w:rPr>
          <w:rFonts w:hint="default" w:ascii="Times New Roman" w:hAnsi="Times New Roman" w:cs="Times New Roman"/>
          <w:color w:val="000000" w:themeColor="text1"/>
          <w:u w:val="none"/>
          <w14:textFill>
            <w14:solidFill>
              <w14:schemeClr w14:val="tx1"/>
            </w14:solidFill>
          </w14:textFill>
        </w:rPr>
        <w:t>2024</w:t>
      </w:r>
    </w:p>
    <w:p w14:paraId="5C981BDB">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Loại bài: </w:t>
      </w:r>
      <w:r>
        <w:rPr>
          <w:rFonts w:hint="default" w:ascii="Times New Roman" w:hAnsi="Times New Roman" w:cs="Times New Roman"/>
          <w:color w:val="000000" w:themeColor="text1"/>
          <w:u w:val="none"/>
          <w14:textFill>
            <w14:solidFill>
              <w14:schemeClr w14:val="tx1"/>
            </w14:solidFill>
          </w14:textFill>
        </w:rPr>
        <w:t>Research Paper</w:t>
      </w:r>
    </w:p>
    <w:p w14:paraId="05C2EBAE">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Tóm tắt nội dung: </w:t>
      </w:r>
      <w:r>
        <w:rPr>
          <w:rFonts w:hint="default" w:ascii="Times New Roman" w:hAnsi="Times New Roman" w:cs="Times New Roman"/>
          <w:color w:val="000000" w:themeColor="text1"/>
          <w:u w:val="none"/>
          <w14:textFill>
            <w14:solidFill>
              <w14:schemeClr w14:val="tx1"/>
            </w14:solidFill>
          </w14:textFill>
        </w:rPr>
        <w:t>Giới thiệu bộ kiểm thử vi mô để đánh giá khả năng mở rộng và hiệu năng của các triển khai Parallel STL.</w:t>
      </w:r>
    </w:p>
    <w:p w14:paraId="0FEC8A76">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Phương pháp/đóng góp: </w:t>
      </w:r>
      <w:r>
        <w:rPr>
          <w:rFonts w:hint="default" w:ascii="Times New Roman" w:hAnsi="Times New Roman" w:cs="Times New Roman"/>
          <w:color w:val="000000" w:themeColor="text1"/>
          <w:u w:val="none"/>
          <w14:textFill>
            <w14:solidFill>
              <w14:schemeClr w14:val="tx1"/>
            </w14:solidFill>
          </w14:textFill>
        </w:rPr>
        <w:t>Đo lường và so sánh hiệu năng trên các nền tảng phần cứng và triển khai khác nhau.</w:t>
      </w:r>
    </w:p>
    <w:p w14:paraId="3677425F">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Mức độ liên quan: </w:t>
      </w:r>
      <w:r>
        <w:rPr>
          <w:rFonts w:hint="default" w:ascii="Times New Roman" w:hAnsi="Times New Roman" w:cs="Times New Roman"/>
          <w:color w:val="000000" w:themeColor="text1"/>
          <w:u w:val="none"/>
          <w14:textFill>
            <w14:solidFill>
              <w14:schemeClr w14:val="tx1"/>
            </w14:solidFill>
          </w14:textFill>
        </w:rPr>
        <w:t>Hỗ trợ tìm hiểu cách đánh giá hiệu năng của thư viện C++ và các thuật toán song song.</w:t>
      </w:r>
    </w:p>
    <w:p w14:paraId="0744F881">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Liên kết: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"https://arxiv.org/abs/2402.06384"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21"/>
          <w:rFonts w:hint="default" w:ascii="Times New Roman" w:hAnsi="Times New Roman" w:cs="Times New Roman"/>
        </w:rPr>
        <w:t>https://arxiv.org/abs/2402.06384</w:t>
      </w:r>
      <w:r>
        <w:rPr>
          <w:rFonts w:hint="default" w:ascii="Times New Roman" w:hAnsi="Times New Roman" w:cs="Times New Roman"/>
          <w:color w:val="000000" w:themeColor="text1"/>
          <w:u w:val="none"/>
          <w14:textFill>
            <w14:solidFill>
              <w14:schemeClr w14:val="tx1"/>
            </w14:solidFill>
          </w14:textFill>
        </w:rPr>
        <w:fldChar w:fldCharType="end"/>
      </w:r>
    </w:p>
    <w:p w14:paraId="19D94812">
      <w:pPr>
        <w:pStyle w:val="2"/>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B. GNU C Library / glibc</w:t>
      </w:r>
    </w:p>
    <w:p w14:paraId="0E978C43">
      <w:pPr>
        <w:pStyle w:val="3"/>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3</w:t>
      </w:r>
      <w:r>
        <w:rPr>
          <w:rFonts w:hint="default" w:ascii="Times New Roman" w:hAnsi="Times New Roman" w:cs="Times New Roman"/>
          <w:color w:val="000000" w:themeColor="text1"/>
          <w:u w:val="none"/>
          <w14:textFill>
            <w14:solidFill>
              <w14:schemeClr w14:val="tx1"/>
            </w14:solidFill>
          </w14:textFill>
        </w:rPr>
        <w:t>. Memory at Your Service: Fast Memory Allocation for Latency-critical Services</w:t>
      </w:r>
    </w:p>
    <w:p w14:paraId="70941461">
      <w:pPr>
        <w:rPr>
          <w:rFonts w:hint="default" w:ascii="Times New Roman" w:hAnsi="Times New Roman" w:cs="Times New Roman"/>
        </w:rPr>
      </w:pPr>
      <w:r>
        <w:rPr>
          <w:rFonts w:hint="default" w:ascii="Times New Roman" w:hAnsi="Times New Roman" w:cs="Times New Roman"/>
        </w:rPr>
        <w:drawing>
          <wp:inline distT="0" distB="0" distL="114300" distR="114300">
            <wp:extent cx="6394450" cy="306197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394450" cy="3061970"/>
                    </a:xfrm>
                    <a:prstGeom prst="rect">
                      <a:avLst/>
                    </a:prstGeom>
                    <a:noFill/>
                    <a:ln>
                      <a:noFill/>
                    </a:ln>
                  </pic:spPr>
                </pic:pic>
              </a:graphicData>
            </a:graphic>
          </wp:inline>
        </w:drawing>
      </w:r>
    </w:p>
    <w:p w14:paraId="553155E5">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Tác giả: </w:t>
      </w:r>
      <w:r>
        <w:rPr>
          <w:rFonts w:hint="default" w:ascii="Times New Roman" w:hAnsi="Times New Roman" w:cs="Times New Roman"/>
          <w:color w:val="000000" w:themeColor="text1"/>
          <w:u w:val="none"/>
          <w14:textFill>
            <w14:solidFill>
              <w14:schemeClr w14:val="tx1"/>
            </w14:solidFill>
          </w14:textFill>
        </w:rPr>
        <w:t>Aidi Pi, Junxian Zhao, Shaoqi Wang, Xiaobo Zhou</w:t>
      </w:r>
    </w:p>
    <w:p w14:paraId="741E37A8">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Năm: </w:t>
      </w:r>
      <w:r>
        <w:rPr>
          <w:rFonts w:hint="default" w:ascii="Times New Roman" w:hAnsi="Times New Roman" w:cs="Times New Roman"/>
          <w:color w:val="000000" w:themeColor="text1"/>
          <w:u w:val="none"/>
          <w14:textFill>
            <w14:solidFill>
              <w14:schemeClr w14:val="tx1"/>
            </w14:solidFill>
          </w14:textFill>
        </w:rPr>
        <w:t>2021</w:t>
      </w:r>
    </w:p>
    <w:p w14:paraId="54669786">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Loại bài: </w:t>
      </w:r>
      <w:r>
        <w:rPr>
          <w:rFonts w:hint="default" w:ascii="Times New Roman" w:hAnsi="Times New Roman" w:cs="Times New Roman"/>
          <w:color w:val="000000" w:themeColor="text1"/>
          <w:u w:val="none"/>
          <w14:textFill>
            <w14:solidFill>
              <w14:schemeClr w14:val="tx1"/>
            </w14:solidFill>
          </w14:textFill>
        </w:rPr>
        <w:t>Research Paper</w:t>
      </w:r>
    </w:p>
    <w:p w14:paraId="57FBB1FA">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Tóm tắt nội dung: </w:t>
      </w:r>
      <w:r>
        <w:rPr>
          <w:rFonts w:hint="default" w:ascii="Times New Roman" w:hAnsi="Times New Roman" w:cs="Times New Roman"/>
          <w:color w:val="000000" w:themeColor="text1"/>
          <w:u w:val="none"/>
          <w14:textFill>
            <w14:solidFill>
              <w14:schemeClr w14:val="tx1"/>
            </w14:solidFill>
          </w14:textFill>
        </w:rPr>
        <w:t>Nghiên cứu vấn đề độ trễ cấp phát bộ nhớ cho các dịch vụ yêu cầu phản hồi nhanh khi hệ thống chịu áp lực bộ nhớ.</w:t>
      </w:r>
    </w:p>
    <w:p w14:paraId="4FB7E848">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Phương pháp/đóng góp: </w:t>
      </w:r>
      <w:r>
        <w:rPr>
          <w:rFonts w:hint="default" w:ascii="Times New Roman" w:hAnsi="Times New Roman" w:cs="Times New Roman"/>
          <w:color w:val="000000" w:themeColor="text1"/>
          <w:u w:val="none"/>
          <w14:textFill>
            <w14:solidFill>
              <w14:schemeClr w14:val="tx1"/>
            </w14:solidFill>
          </w14:textFill>
        </w:rPr>
        <w:t>Phân tích cơ chế quản lý bộ nhớ của GNU/Linux và giới thiệu Hermes, được triển khai trong GNU C Library.</w:t>
      </w:r>
    </w:p>
    <w:p w14:paraId="0E6917D2">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Mức độ liên quan: </w:t>
      </w:r>
      <w:r>
        <w:rPr>
          <w:rFonts w:hint="default" w:ascii="Times New Roman" w:hAnsi="Times New Roman" w:cs="Times New Roman"/>
          <w:color w:val="000000" w:themeColor="text1"/>
          <w:u w:val="none"/>
          <w14:textFill>
            <w14:solidFill>
              <w14:schemeClr w14:val="tx1"/>
            </w14:solidFill>
          </w14:textFill>
        </w:rPr>
        <w:t>Liên quan đến malloc/free, cấp phát bộ nhớ động và tối ưu độ trễ.</w:t>
      </w:r>
    </w:p>
    <w:p w14:paraId="1DF26ED7">
      <w:pPr>
        <w:spacing w:after="6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b/>
          <w:color w:val="000000" w:themeColor="text1"/>
          <w:u w:val="none"/>
          <w14:textFill>
            <w14:solidFill>
              <w14:schemeClr w14:val="tx1"/>
            </w14:solidFill>
          </w14:textFill>
        </w:rPr>
        <w:t xml:space="preserve">Liên kết: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"https://arxiv.org/abs/2109.02922"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8"/>
          <w:rFonts w:hint="default" w:ascii="Times New Roman" w:hAnsi="Times New Roman" w:cs="Times New Roman"/>
        </w:rPr>
        <w:t>https://arxiv.org/abs/2109.02922</w:t>
      </w:r>
      <w:r>
        <w:rPr>
          <w:rFonts w:hint="default" w:ascii="Times New Roman" w:hAnsi="Times New Roman" w:cs="Times New Roman"/>
          <w:color w:val="000000" w:themeColor="text1"/>
          <w:u w:val="none"/>
          <w14:textFill>
            <w14:solidFill>
              <w14:schemeClr w14:val="tx1"/>
            </w14:solidFill>
          </w14:textFill>
        </w:rPr>
        <w:fldChar w:fldCharType="end"/>
      </w:r>
    </w:p>
    <w:p w14:paraId="6EEECBD0">
      <w:pPr>
        <w:pStyle w:val="2"/>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2. Bảng thống kê</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2484"/>
        <w:gridCol w:w="2016"/>
        <w:gridCol w:w="1584"/>
        <w:gridCol w:w="2448"/>
      </w:tblGrid>
      <w:tr w14:paraId="7086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shd w:val="clear" w:color="auto" w:fill="1F4E79"/>
            <w:vAlign w:val="center"/>
          </w:tcPr>
          <w:p w14:paraId="01E4C2ED">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STT</w:t>
            </w:r>
          </w:p>
        </w:tc>
        <w:tc>
          <w:tcPr>
            <w:tcW w:w="2484" w:type="dxa"/>
            <w:shd w:val="clear" w:color="auto" w:fill="1F4E79"/>
            <w:vAlign w:val="center"/>
          </w:tcPr>
          <w:p w14:paraId="24075360">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Tên bài (rút gọn)</w:t>
            </w:r>
          </w:p>
        </w:tc>
        <w:tc>
          <w:tcPr>
            <w:tcW w:w="2016" w:type="dxa"/>
            <w:shd w:val="clear" w:color="auto" w:fill="1F4E79"/>
            <w:vAlign w:val="center"/>
          </w:tcPr>
          <w:p w14:paraId="5951582F">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Năm</w:t>
            </w:r>
          </w:p>
        </w:tc>
        <w:tc>
          <w:tcPr>
            <w:tcW w:w="1584" w:type="dxa"/>
            <w:shd w:val="clear" w:color="auto" w:fill="1F4E79"/>
            <w:vAlign w:val="center"/>
          </w:tcPr>
          <w:p w14:paraId="328E33C1">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Phân loại</w:t>
            </w:r>
          </w:p>
        </w:tc>
        <w:tc>
          <w:tcPr>
            <w:tcW w:w="2448" w:type="dxa"/>
            <w:shd w:val="clear" w:color="auto" w:fill="1F4E79"/>
            <w:vAlign w:val="center"/>
          </w:tcPr>
          <w:p w14:paraId="5A939541">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Nhóm chủ đề</w:t>
            </w:r>
          </w:p>
        </w:tc>
      </w:tr>
      <w:tr w14:paraId="0CCB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Align w:val="center"/>
          </w:tcPr>
          <w:p w14:paraId="7CD51875">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1</w:t>
            </w:r>
          </w:p>
        </w:tc>
        <w:tc>
          <w:tcPr>
            <w:tcW w:w="2484" w:type="dxa"/>
            <w:vAlign w:val="center"/>
          </w:tcPr>
          <w:p w14:paraId="008CC93D">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STL Safe Variants Overhead</w:t>
            </w:r>
          </w:p>
        </w:tc>
        <w:tc>
          <w:tcPr>
            <w:tcW w:w="2016" w:type="dxa"/>
            <w:vAlign w:val="center"/>
          </w:tcPr>
          <w:p w14:paraId="3EAFD7CD">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2011</w:t>
            </w:r>
          </w:p>
        </w:tc>
        <w:tc>
          <w:tcPr>
            <w:tcW w:w="1584" w:type="dxa"/>
            <w:vAlign w:val="center"/>
          </w:tcPr>
          <w:p w14:paraId="62A759DF">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Research</w:t>
            </w:r>
          </w:p>
        </w:tc>
        <w:tc>
          <w:tcPr>
            <w:tcW w:w="2448" w:type="dxa"/>
            <w:vAlign w:val="center"/>
          </w:tcPr>
          <w:p w14:paraId="1DA1E216">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STL</w:t>
            </w:r>
          </w:p>
        </w:tc>
      </w:tr>
      <w:tr w14:paraId="229BB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Align w:val="center"/>
          </w:tcPr>
          <w:p w14:paraId="276DBC7D">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2</w:t>
            </w:r>
          </w:p>
        </w:tc>
        <w:tc>
          <w:tcPr>
            <w:tcW w:w="2484" w:type="dxa"/>
            <w:vAlign w:val="center"/>
          </w:tcPr>
          <w:p w14:paraId="2540AFCC">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pSTL-Bench</w:t>
            </w:r>
          </w:p>
        </w:tc>
        <w:tc>
          <w:tcPr>
            <w:tcW w:w="2016" w:type="dxa"/>
            <w:vAlign w:val="center"/>
          </w:tcPr>
          <w:p w14:paraId="6CBE16CE">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2024</w:t>
            </w:r>
          </w:p>
        </w:tc>
        <w:tc>
          <w:tcPr>
            <w:tcW w:w="1584" w:type="dxa"/>
            <w:vAlign w:val="center"/>
          </w:tcPr>
          <w:p w14:paraId="18CD2565">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Research</w:t>
            </w:r>
          </w:p>
        </w:tc>
        <w:tc>
          <w:tcPr>
            <w:tcW w:w="2448" w:type="dxa"/>
            <w:vAlign w:val="center"/>
          </w:tcPr>
          <w:p w14:paraId="2BCEC453">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STL</w:t>
            </w:r>
          </w:p>
        </w:tc>
      </w:tr>
      <w:tr w14:paraId="70FF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Align w:val="center"/>
          </w:tcPr>
          <w:p w14:paraId="150C7A87">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3</w:t>
            </w:r>
          </w:p>
        </w:tc>
        <w:tc>
          <w:tcPr>
            <w:tcW w:w="2484" w:type="dxa"/>
            <w:vAlign w:val="center"/>
          </w:tcPr>
          <w:p w14:paraId="48616848">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Memory at Your Service</w:t>
            </w:r>
          </w:p>
        </w:tc>
        <w:tc>
          <w:tcPr>
            <w:tcW w:w="2016" w:type="dxa"/>
            <w:vAlign w:val="center"/>
          </w:tcPr>
          <w:p w14:paraId="4AB72402">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2021</w:t>
            </w:r>
          </w:p>
        </w:tc>
        <w:tc>
          <w:tcPr>
            <w:tcW w:w="1584" w:type="dxa"/>
            <w:vAlign w:val="center"/>
          </w:tcPr>
          <w:p w14:paraId="377412FA">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Research</w:t>
            </w:r>
          </w:p>
        </w:tc>
        <w:tc>
          <w:tcPr>
            <w:tcW w:w="2448" w:type="dxa"/>
            <w:vAlign w:val="center"/>
          </w:tcPr>
          <w:p w14:paraId="4EAB8D57">
            <w:pPr>
              <w:spacing w:after="20" w:line="240" w:lineRule="auto"/>
              <w:rPr>
                <w:rFonts w:hint="default" w:ascii="Times New Roman" w:hAnsi="Times New Roman" w:cs="Times New Roman"/>
                <w:b w:val="0"/>
                <w:color w:val="000000" w:themeColor="text1"/>
                <w:sz w:val="20"/>
                <w:szCs w:val="20"/>
                <w:u w:val="none"/>
                <w:lang w:val="en-US"/>
                <w14:textFill>
                  <w14:solidFill>
                    <w14:schemeClr w14:val="tx1"/>
                  </w14:solidFill>
                </w14:textFill>
              </w:rPr>
            </w:pPr>
            <w:r>
              <w:rPr>
                <w:rFonts w:hint="default" w:ascii="Times New Roman" w:hAnsi="Times New Roman" w:cs="Times New Roman"/>
                <w:b w:val="0"/>
                <w:color w:val="000000" w:themeColor="text1"/>
                <w:sz w:val="20"/>
                <w:szCs w:val="20"/>
                <w:u w:val="none"/>
                <w:lang w:val="en-US"/>
                <w14:textFill>
                  <w14:solidFill>
                    <w14:schemeClr w14:val="tx1"/>
                  </w14:solidFill>
                </w14:textFill>
              </w:rPr>
              <w:t>glibc / memory</w:t>
            </w:r>
          </w:p>
        </w:tc>
      </w:tr>
    </w:tbl>
    <w:p w14:paraId="171AE77D">
      <w:pPr>
        <w:pStyle w:val="2"/>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3</w:t>
      </w:r>
      <w:r>
        <w:rPr>
          <w:rFonts w:hint="default" w:ascii="Times New Roman" w:hAnsi="Times New Roman" w:cs="Times New Roman"/>
          <w:color w:val="000000" w:themeColor="text1"/>
          <w:u w:val="none"/>
          <w14:textFill>
            <w14:solidFill>
              <w14:schemeClr w14:val="tx1"/>
            </w14:solidFill>
          </w14:textFill>
        </w:rPr>
        <w:t>. Nhận xét và hướng phát triển</w:t>
      </w:r>
    </w:p>
    <w:p w14:paraId="077B0F26">
      <w:pPr>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Nhóm bài về STL tập trung vào tính an toàn, phát hiện lỗi và đo lường hiệu năng. Nhóm bài về glibc tập trung nhiều hơn vào cấp phát bộ nhớ và mối quan hệ giữa hàm thư viện với system call. Hai nhóm có thể giúp minh họa hai phần chính của Chương 4 – Standard Libraries.</w:t>
      </w:r>
    </w:p>
    <w:p w14:paraId="29BC19DF">
      <w:pPr>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Nếu yêu cầu bài tập là viết cả Research Paper và Survey Paper, nhóm cần bổ sung ít nhất một Survey Paper đúng nghĩa. Survey Paper thường tổng hợp, phân loại và so sánh nhiều công trình đã công bố, thay vì chỉ đề xuất một kỹ thuật mới. Không nên gắn nhãn Survey Paper cho một bài nghiên cứu gốc chỉ vì bài đó có phần tổng quan.</w:t>
      </w:r>
    </w:p>
    <w:p w14:paraId="79A44351">
      <w:pPr>
        <w:pStyle w:val="2"/>
        <w:rPr>
          <w:rFonts w:hint="default" w:ascii="Times New Roman" w:hAnsi="Times New Roman" w:cs="Times New Roman"/>
          <w:color w:val="000000" w:themeColor="text1"/>
          <w:u w:val="none"/>
          <w:lang w:val="en-US"/>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4</w:t>
      </w:r>
      <w:r>
        <w:rPr>
          <w:rFonts w:hint="default" w:ascii="Times New Roman" w:hAnsi="Times New Roman" w:cs="Times New Roman"/>
          <w:color w:val="000000" w:themeColor="text1"/>
          <w:u w:val="none"/>
          <w14:textFill>
            <w14:solidFill>
              <w14:schemeClr w14:val="tx1"/>
            </w14:solidFill>
          </w14:textFill>
        </w:rPr>
        <w:t>. Tài liệu tham khảo</w:t>
      </w:r>
      <w:r>
        <w:rPr>
          <w:rFonts w:hint="default" w:ascii="Times New Roman" w:hAnsi="Times New Roman" w:cs="Times New Roman"/>
          <w:color w:val="000000" w:themeColor="text1"/>
          <w:u w:val="none"/>
          <w:lang w:val="en-US"/>
          <w14:textFill>
            <w14:solidFill>
              <w14:schemeClr w14:val="tx1"/>
            </w14:solidFill>
          </w14:textFill>
        </w:rPr>
        <w:t>(PDF)</w:t>
      </w:r>
    </w:p>
    <w:p w14:paraId="03F6BDF9">
      <w:pPr>
        <w:pStyle w:val="31"/>
        <w:spacing w:after="8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 xml:space="preserve">Norbert Pataki, Zalán Szűgyi, Gergely Dévai (2011). </w:t>
      </w:r>
      <w:r>
        <w:rPr>
          <w:rFonts w:hint="default" w:ascii="Times New Roman" w:hAnsi="Times New Roman" w:cs="Times New Roman"/>
          <w:i/>
          <w:color w:val="000000" w:themeColor="text1"/>
          <w:u w:val="none"/>
          <w14:textFill>
            <w14:solidFill>
              <w14:schemeClr w14:val="tx1"/>
            </w14:solidFill>
          </w14:textFill>
        </w:rPr>
        <w:t xml:space="preserve">Measuring the Overhead of C++ Standard Template Library Safe Variants.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"https://tinyurl.com/hzne2t3s"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21"/>
          <w:rFonts w:hint="default" w:ascii="Times New Roman" w:hAnsi="Times New Roman" w:cs="Times New Roman"/>
        </w:rPr>
        <w:t>https://tinyurl.com/hzne2t3s</w:t>
      </w:r>
      <w:r>
        <w:rPr>
          <w:rFonts w:hint="default" w:ascii="Times New Roman" w:hAnsi="Times New Roman" w:cs="Times New Roman"/>
          <w:color w:val="000000" w:themeColor="text1"/>
          <w:u w:val="none"/>
          <w14:textFill>
            <w14:solidFill>
              <w14:schemeClr w14:val="tx1"/>
            </w14:solidFill>
          </w14:textFill>
        </w:rPr>
        <w:fldChar w:fldCharType="end"/>
      </w:r>
    </w:p>
    <w:p w14:paraId="6DDE5BC9">
      <w:pPr>
        <w:pStyle w:val="31"/>
        <w:spacing w:after="8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 xml:space="preserve">Ruben Laso, Diego Krupitza, Sascha Hunold (2024). </w:t>
      </w:r>
      <w:r>
        <w:rPr>
          <w:rFonts w:hint="default" w:ascii="Times New Roman" w:hAnsi="Times New Roman" w:cs="Times New Roman"/>
          <w:i/>
          <w:color w:val="000000" w:themeColor="text1"/>
          <w:u w:val="none"/>
          <w14:textFill>
            <w14:solidFill>
              <w14:schemeClr w14:val="tx1"/>
            </w14:solidFill>
          </w14:textFill>
        </w:rPr>
        <w:t xml:space="preserve">pSTL-Bench: A Micro-Benchmark Suite for Assessing Scalability of C++ Parallel STL Implementations.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"https://arxiv.org/pdf/2109.02922"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21"/>
          <w:rFonts w:hint="default" w:ascii="Times New Roman" w:hAnsi="Times New Roman" w:cs="Times New Roman"/>
        </w:rPr>
        <w:t>https://arxiv.org/pdf/2109.02922</w:t>
      </w:r>
      <w:r>
        <w:rPr>
          <w:rFonts w:hint="default" w:ascii="Times New Roman" w:hAnsi="Times New Roman" w:cs="Times New Roman"/>
          <w:color w:val="000000" w:themeColor="text1"/>
          <w:u w:val="none"/>
          <w14:textFill>
            <w14:solidFill>
              <w14:schemeClr w14:val="tx1"/>
            </w14:solidFill>
          </w14:textFill>
        </w:rPr>
        <w:fldChar w:fldCharType="end"/>
      </w:r>
    </w:p>
    <w:p w14:paraId="05C36559">
      <w:pPr>
        <w:pStyle w:val="31"/>
        <w:spacing w:after="80"/>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 xml:space="preserve">Aidi Pi, Junxian Zhao, Shaoqi Wang, Xiaobo Zhou (2021). </w:t>
      </w:r>
      <w:r>
        <w:rPr>
          <w:rFonts w:hint="default" w:ascii="Times New Roman" w:hAnsi="Times New Roman" w:cs="Times New Roman"/>
          <w:i/>
          <w:color w:val="000000" w:themeColor="text1"/>
          <w:u w:val="none"/>
          <w14:textFill>
            <w14:solidFill>
              <w14:schemeClr w14:val="tx1"/>
            </w14:solidFill>
          </w14:textFill>
        </w:rPr>
        <w:t xml:space="preserve">Memory at Your Service: Fast Memory Allocation for Latency-critical Services.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"https://arxiv.org/pdf/2402.06384"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21"/>
          <w:rFonts w:hint="default" w:ascii="Times New Roman" w:hAnsi="Times New Roman" w:cs="Times New Roman"/>
        </w:rPr>
        <w:t>https://arxiv.org/pdf/2402.06384</w:t>
      </w:r>
      <w:r>
        <w:rPr>
          <w:rFonts w:hint="default" w:ascii="Times New Roman" w:hAnsi="Times New Roman" w:cs="Times New Roman"/>
          <w:color w:val="000000" w:themeColor="text1"/>
          <w:u w:val="none"/>
          <w14:textFill>
            <w14:solidFill>
              <w14:schemeClr w14:val="tx1"/>
            </w14:solidFill>
          </w14:textFill>
        </w:rPr>
        <w:fldChar w:fldCharType="end"/>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5D240">
    <w:pPr>
      <w:pStyle w:val="1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484E6B47"/>
    <w:multiLevelType w:val="singleLevel"/>
    <w:tmpl w:val="484E6B47"/>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4A4D"/>
    <w:rsid w:val="1724402F"/>
    <w:rsid w:val="23E14E6C"/>
    <w:rsid w:val="384406D8"/>
    <w:rsid w:val="3EF6263C"/>
    <w:rsid w:val="48C6778A"/>
    <w:rsid w:val="682906B2"/>
    <w:rsid w:val="6DB143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F5496"/>
      <w:sz w:val="24"/>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4"/>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695</Words>
  <Characters>3107</Characters>
  <Lines>0</Lines>
  <Paragraphs>0</Paragraphs>
  <TotalTime>48</TotalTime>
  <ScaleCrop>false</ScaleCrop>
  <LinksUpToDate>false</LinksUpToDate>
  <CharactersWithSpaces>3743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WPS_1789134865</cp:lastModifiedBy>
  <dcterms:modified xsi:type="dcterms:W3CDTF">2026-10-20T12:24:00Z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eyJoZGlkIjoiYzU5ZDg3ZmQ3Y2IwYTIxMjE0ZjM5MjMzZjIxZjA4MmIiLCJ1c2VySWQiOiIxMzc0NDA2Mjg5NDIwIn0=</vt:lpwstr>
  </property>
  <property fmtid="{D5CDD505-2E9C-101B-9397-08002B2CF9AE}" pid="3" name="KSOProductBuildVer">
    <vt:lpwstr>1033-12.1.0.29162</vt:lpwstr>
  </property>
  <property fmtid="{D5CDD505-2E9C-101B-9397-08002B2CF9AE}" pid="4" name="ICV">
    <vt:lpwstr>BD494852A3A64FBCB3B4C58DC785FA0F_12</vt:lpwstr>
  </property>
</Properties>
</file>