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8104C" w14:textId="77777777" w:rsidR="00FA0443" w:rsidRDefault="00FA0443" w:rsidP="001469CA">
      <w:pPr>
        <w:pStyle w:val="NaslovnaStrana"/>
        <w:spacing w:line="360" w:lineRule="auto"/>
        <w:contextualSpacing/>
      </w:pPr>
      <w:r>
        <w:t>Univerzitet "Džemal Bijedić" u Mostaru</w:t>
      </w:r>
    </w:p>
    <w:p w14:paraId="09C60283" w14:textId="77777777" w:rsidR="00FA0443" w:rsidRDefault="00FA0443" w:rsidP="001469CA">
      <w:pPr>
        <w:pStyle w:val="NaslovnaStrana"/>
        <w:spacing w:line="360" w:lineRule="auto"/>
        <w:contextualSpacing/>
      </w:pPr>
      <w:r>
        <w:t>Fakultet informacijskih tehnologija</w:t>
      </w:r>
    </w:p>
    <w:p w14:paraId="0C5B1956" w14:textId="77777777" w:rsidR="00FA0443" w:rsidRDefault="00FA0443" w:rsidP="001469CA">
      <w:pPr>
        <w:pStyle w:val="NaslovnaStrana"/>
        <w:spacing w:line="360" w:lineRule="auto"/>
        <w:contextualSpacing/>
      </w:pPr>
    </w:p>
    <w:p w14:paraId="1DE79F22" w14:textId="77777777" w:rsidR="00FA0443" w:rsidRDefault="00FA0443" w:rsidP="001469CA">
      <w:pPr>
        <w:pStyle w:val="NaslovnaStrana"/>
        <w:spacing w:line="360" w:lineRule="auto"/>
        <w:contextualSpacing/>
      </w:pPr>
      <w:r>
        <w:t>Godina studija: Treća</w:t>
      </w:r>
    </w:p>
    <w:p w14:paraId="59D0993E" w14:textId="77777777" w:rsidR="00FA0443" w:rsidRDefault="00FA0443" w:rsidP="001469CA">
      <w:pPr>
        <w:pStyle w:val="NaslovnaStrana"/>
        <w:spacing w:line="360" w:lineRule="auto"/>
        <w:contextualSpacing/>
      </w:pPr>
    </w:p>
    <w:p w14:paraId="3293BAB6" w14:textId="77777777" w:rsidR="00FA0443" w:rsidRDefault="00FA0443" w:rsidP="001469CA">
      <w:pPr>
        <w:pStyle w:val="NaslovnaStrana"/>
        <w:spacing w:line="360" w:lineRule="auto"/>
        <w:contextualSpacing/>
      </w:pPr>
    </w:p>
    <w:p w14:paraId="686EB421" w14:textId="77777777" w:rsidR="00FA0443" w:rsidRDefault="00FA0443" w:rsidP="001469CA">
      <w:pPr>
        <w:pStyle w:val="NaslovnaStrana"/>
        <w:spacing w:line="360" w:lineRule="auto"/>
        <w:contextualSpacing/>
      </w:pPr>
      <w:r>
        <w:t xml:space="preserve">                      </w:t>
      </w:r>
    </w:p>
    <w:p w14:paraId="7A0131EC" w14:textId="77777777" w:rsidR="00FA0443" w:rsidRDefault="00FA0443" w:rsidP="001469CA">
      <w:pPr>
        <w:pStyle w:val="NaslovnaStrana"/>
        <w:spacing w:line="360" w:lineRule="auto"/>
        <w:contextualSpacing/>
      </w:pPr>
    </w:p>
    <w:p w14:paraId="1AE52612" w14:textId="77777777" w:rsidR="00FA0443" w:rsidRDefault="00FA0443" w:rsidP="001469CA">
      <w:pPr>
        <w:pStyle w:val="NaslovnaStrana"/>
        <w:spacing w:line="360" w:lineRule="auto"/>
        <w:contextualSpacing/>
      </w:pPr>
    </w:p>
    <w:p w14:paraId="63F2336A" w14:textId="77777777" w:rsidR="00FA0443" w:rsidRDefault="00FA0443" w:rsidP="001469CA">
      <w:pPr>
        <w:pStyle w:val="NaslovnaStrana"/>
        <w:spacing w:line="360" w:lineRule="auto"/>
        <w:contextualSpacing/>
      </w:pPr>
    </w:p>
    <w:p w14:paraId="55328E32" w14:textId="77777777" w:rsidR="00FA0443" w:rsidRDefault="00FA0443" w:rsidP="001469CA">
      <w:pPr>
        <w:pStyle w:val="NaslovnaStrana"/>
        <w:spacing w:line="360" w:lineRule="auto"/>
        <w:contextualSpacing/>
      </w:pPr>
    </w:p>
    <w:p w14:paraId="0F85E76A" w14:textId="77777777" w:rsidR="00FA0443" w:rsidRDefault="00FA0443" w:rsidP="001469CA">
      <w:pPr>
        <w:pStyle w:val="NaslovnaStrana"/>
        <w:spacing w:line="360" w:lineRule="auto"/>
        <w:contextualSpacing/>
      </w:pPr>
    </w:p>
    <w:p w14:paraId="1F0B796B" w14:textId="77777777" w:rsidR="00FA0443" w:rsidRDefault="00FA0443" w:rsidP="001469CA">
      <w:pPr>
        <w:pStyle w:val="NaslovnaStrana"/>
        <w:spacing w:line="360" w:lineRule="auto"/>
        <w:contextualSpacing/>
      </w:pPr>
    </w:p>
    <w:p w14:paraId="163DC249" w14:textId="77777777" w:rsidR="00FA0443" w:rsidRDefault="00FA0443" w:rsidP="001469CA">
      <w:pPr>
        <w:pStyle w:val="NaslovnaStrana"/>
        <w:spacing w:line="360" w:lineRule="auto"/>
        <w:contextualSpacing/>
      </w:pPr>
    </w:p>
    <w:p w14:paraId="5A5317C6" w14:textId="77777777" w:rsidR="00FA0443" w:rsidRPr="00640EC6" w:rsidRDefault="00FA0443" w:rsidP="00640EC6">
      <w:pPr>
        <w:pStyle w:val="Naslov"/>
      </w:pPr>
      <w:r w:rsidRPr="00640EC6">
        <w:t>Zdrava hrana u školama</w:t>
      </w:r>
    </w:p>
    <w:p w14:paraId="40C3FC0B" w14:textId="77777777" w:rsidR="00FA0443" w:rsidRDefault="00FA0443" w:rsidP="001469CA">
      <w:pPr>
        <w:pStyle w:val="NaslovnaStrana"/>
        <w:spacing w:line="360" w:lineRule="auto"/>
        <w:contextualSpacing/>
        <w:jc w:val="center"/>
      </w:pPr>
    </w:p>
    <w:p w14:paraId="39A9082A" w14:textId="77777777" w:rsidR="00FA0443" w:rsidRDefault="00FA0443" w:rsidP="001469CA">
      <w:pPr>
        <w:pStyle w:val="NaslovnaStrana"/>
        <w:spacing w:line="360" w:lineRule="auto"/>
        <w:contextualSpacing/>
        <w:jc w:val="center"/>
      </w:pPr>
      <w:r>
        <w:t>Seminarski rad iz Upravljanja projektom</w:t>
      </w:r>
    </w:p>
    <w:p w14:paraId="24AB08C1" w14:textId="77777777" w:rsidR="00FA0443" w:rsidRDefault="00FA0443" w:rsidP="001469CA">
      <w:pPr>
        <w:pStyle w:val="NaslovnaStrana"/>
        <w:spacing w:line="360" w:lineRule="auto"/>
        <w:contextualSpacing/>
      </w:pPr>
    </w:p>
    <w:p w14:paraId="507B9141" w14:textId="77777777" w:rsidR="00FA0443" w:rsidRDefault="00FA0443" w:rsidP="001469CA">
      <w:pPr>
        <w:pStyle w:val="NaslovnaStrana"/>
        <w:spacing w:line="360" w:lineRule="auto"/>
        <w:contextualSpacing/>
      </w:pPr>
    </w:p>
    <w:p w14:paraId="2F804CD8" w14:textId="77777777" w:rsidR="00FA0443" w:rsidRDefault="00FA0443" w:rsidP="001469CA">
      <w:pPr>
        <w:pStyle w:val="NaslovnaStrana"/>
        <w:spacing w:line="360" w:lineRule="auto"/>
        <w:contextualSpacing/>
      </w:pPr>
    </w:p>
    <w:p w14:paraId="6810D953" w14:textId="77777777" w:rsidR="00FA0443" w:rsidRDefault="00FA0443" w:rsidP="001469CA">
      <w:pPr>
        <w:pStyle w:val="NaslovnaStrana"/>
        <w:spacing w:line="360" w:lineRule="auto"/>
        <w:contextualSpacing/>
      </w:pPr>
    </w:p>
    <w:p w14:paraId="696E43B4" w14:textId="77777777" w:rsidR="00FA0443" w:rsidRDefault="00FA0443" w:rsidP="001469CA">
      <w:pPr>
        <w:pStyle w:val="NaslovnaStrana"/>
        <w:spacing w:line="360" w:lineRule="auto"/>
        <w:contextualSpacing/>
      </w:pPr>
    </w:p>
    <w:p w14:paraId="46284893" w14:textId="77777777" w:rsidR="00FA0443" w:rsidRDefault="00FA0443" w:rsidP="001469CA">
      <w:pPr>
        <w:pStyle w:val="NaslovnaStrana"/>
        <w:spacing w:line="360" w:lineRule="auto"/>
        <w:contextualSpacing/>
      </w:pPr>
    </w:p>
    <w:p w14:paraId="127516BB" w14:textId="77777777" w:rsidR="00FA0443" w:rsidRDefault="00FA0443" w:rsidP="001469CA">
      <w:pPr>
        <w:pStyle w:val="NaslovnaStrana"/>
        <w:spacing w:line="360" w:lineRule="auto"/>
        <w:contextualSpacing/>
      </w:pPr>
    </w:p>
    <w:p w14:paraId="30F5C9EB" w14:textId="77777777" w:rsidR="00FA0443" w:rsidRDefault="00FA0443" w:rsidP="001469CA">
      <w:pPr>
        <w:pStyle w:val="NaslovnaStrana"/>
        <w:spacing w:line="360" w:lineRule="auto"/>
        <w:contextualSpacing/>
      </w:pPr>
    </w:p>
    <w:p w14:paraId="72BBFA2B" w14:textId="77777777" w:rsidR="006D7DAC" w:rsidRDefault="006D7DAC" w:rsidP="001469CA">
      <w:pPr>
        <w:pStyle w:val="NaslovnaStrana"/>
        <w:spacing w:line="360" w:lineRule="auto"/>
        <w:contextualSpacing/>
      </w:pPr>
    </w:p>
    <w:p w14:paraId="548A16A3" w14:textId="77777777" w:rsidR="00FA0443" w:rsidRDefault="00FA0443" w:rsidP="001469CA">
      <w:pPr>
        <w:pStyle w:val="NaslovnaStrana"/>
        <w:spacing w:line="360" w:lineRule="auto"/>
        <w:contextualSpacing/>
      </w:pPr>
    </w:p>
    <w:p w14:paraId="50934AF9" w14:textId="77777777" w:rsidR="00FA0443" w:rsidRDefault="00FA0443" w:rsidP="001469CA">
      <w:pPr>
        <w:pStyle w:val="NaslovnaStrana"/>
        <w:spacing w:line="360" w:lineRule="auto"/>
        <w:contextualSpacing/>
      </w:pPr>
    </w:p>
    <w:p w14:paraId="3DB0118B" w14:textId="77777777" w:rsidR="00FA0443" w:rsidRDefault="00FA0443" w:rsidP="001469CA">
      <w:pPr>
        <w:pStyle w:val="NaslovnaStrana"/>
        <w:spacing w:line="360" w:lineRule="auto"/>
        <w:contextualSpacing/>
      </w:pPr>
      <w:r>
        <w:t>Predmetni profesor:                                                                            Student:</w:t>
      </w:r>
    </w:p>
    <w:p w14:paraId="269DC83B" w14:textId="77777777" w:rsidR="00FA0443" w:rsidRDefault="00FA0443" w:rsidP="001469CA">
      <w:pPr>
        <w:pStyle w:val="NaslovnaStrana"/>
        <w:spacing w:line="360" w:lineRule="auto"/>
        <w:contextualSpacing/>
      </w:pPr>
      <w:r>
        <w:t xml:space="preserve">prof. dr. Emina Junuz                  </w:t>
      </w:r>
      <w:r>
        <w:tab/>
      </w:r>
      <w:r>
        <w:tab/>
      </w:r>
      <w:r>
        <w:tab/>
      </w:r>
      <w:r>
        <w:tab/>
        <w:t xml:space="preserve">  Anja Šunjić, IB160173</w:t>
      </w:r>
    </w:p>
    <w:p w14:paraId="0E1744E5" w14:textId="77777777" w:rsidR="00FA0443" w:rsidRDefault="00FA0443" w:rsidP="001469CA">
      <w:pPr>
        <w:pStyle w:val="NaslovnaStrana"/>
        <w:spacing w:line="360" w:lineRule="auto"/>
        <w:contextualSpacing/>
      </w:pPr>
    </w:p>
    <w:p w14:paraId="2DBAC748" w14:textId="77777777" w:rsidR="00FA0443" w:rsidRDefault="00FA0443" w:rsidP="001469CA">
      <w:pPr>
        <w:pStyle w:val="NaslovnaStrana"/>
        <w:spacing w:line="360" w:lineRule="auto"/>
        <w:contextualSpacing/>
      </w:pPr>
    </w:p>
    <w:p w14:paraId="35FD72D1" w14:textId="77777777" w:rsidR="00FA0443" w:rsidRDefault="00FA0443" w:rsidP="001469CA">
      <w:pPr>
        <w:pStyle w:val="NaslovnaStrana"/>
        <w:spacing w:line="360" w:lineRule="auto"/>
        <w:contextualSpacing/>
      </w:pPr>
    </w:p>
    <w:p w14:paraId="7EC48334" w14:textId="77777777" w:rsidR="00B75C19" w:rsidRDefault="00FA0443" w:rsidP="001469CA">
      <w:pPr>
        <w:pStyle w:val="NaslovnaStrana"/>
        <w:spacing w:line="360" w:lineRule="auto"/>
        <w:contextualSpacing/>
        <w:jc w:val="center"/>
      </w:pPr>
      <w:r>
        <w:t>Mostar, prosinac 2019.</w:t>
      </w:r>
    </w:p>
    <w:p w14:paraId="67F5DAEB" w14:textId="77777777" w:rsidR="006D7DAC" w:rsidRDefault="006D7DAC" w:rsidP="00D04B22">
      <w:pPr>
        <w:pStyle w:val="Naslov1"/>
        <w:sectPr w:rsidR="006D7DAC" w:rsidSect="006D7DAC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20"/>
          <w:titlePg/>
          <w:docGrid w:linePitch="299"/>
        </w:sectPr>
      </w:pPr>
    </w:p>
    <w:sdt>
      <w:sdtPr>
        <w:rPr>
          <w:rFonts w:ascii="Verdana" w:eastAsiaTheme="minorEastAsia" w:hAnsi="Verdana" w:cstheme="minorBidi"/>
          <w:color w:val="auto"/>
          <w:sz w:val="24"/>
          <w:szCs w:val="24"/>
          <w:lang w:val="bs-Latn-BA" w:eastAsia="bs-Latn-BA"/>
        </w:rPr>
        <w:id w:val="836420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A6E2AD" w14:textId="54A26CD7" w:rsidR="00BB10B5" w:rsidRPr="006B7700" w:rsidRDefault="003A48C4" w:rsidP="006B7700">
          <w:pPr>
            <w:pStyle w:val="TOCNaslov"/>
            <w:rPr>
              <w:rFonts w:ascii="Verdana" w:hAnsi="Verdana"/>
              <w:b/>
              <w:bCs/>
              <w:sz w:val="28"/>
              <w:szCs w:val="28"/>
            </w:rPr>
          </w:pPr>
          <w:proofErr w:type="spellStart"/>
          <w:r w:rsidRPr="00BB10B5">
            <w:rPr>
              <w:rFonts w:ascii="Verdana" w:hAnsi="Verdana"/>
              <w:b/>
              <w:bCs/>
              <w:sz w:val="28"/>
              <w:szCs w:val="28"/>
            </w:rPr>
            <w:t>Sadržaj</w:t>
          </w:r>
          <w:proofErr w:type="spellEnd"/>
        </w:p>
        <w:p w14:paraId="48B44820" w14:textId="2F19A215" w:rsidR="006B7700" w:rsidRDefault="003A48C4">
          <w:pPr>
            <w:pStyle w:val="Sadraj1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r w:rsidRPr="00BB10B5">
            <w:fldChar w:fldCharType="begin"/>
          </w:r>
          <w:r w:rsidRPr="00BB10B5">
            <w:instrText xml:space="preserve"> TOC \o "1-3" \h \z \u </w:instrText>
          </w:r>
          <w:r w:rsidRPr="00BB10B5">
            <w:fldChar w:fldCharType="separate"/>
          </w:r>
          <w:hyperlink w:anchor="_Toc29369429" w:history="1">
            <w:r w:rsidR="006B7700" w:rsidRPr="003A2B4B">
              <w:rPr>
                <w:rStyle w:val="Hiperveza"/>
                <w:noProof/>
              </w:rPr>
              <w:t>1. Uvod</w:t>
            </w:r>
            <w:r w:rsidR="006B7700">
              <w:rPr>
                <w:noProof/>
                <w:webHidden/>
              </w:rPr>
              <w:tab/>
            </w:r>
            <w:r w:rsidR="006B7700">
              <w:rPr>
                <w:noProof/>
                <w:webHidden/>
              </w:rPr>
              <w:fldChar w:fldCharType="begin"/>
            </w:r>
            <w:r w:rsidR="006B7700">
              <w:rPr>
                <w:noProof/>
                <w:webHidden/>
              </w:rPr>
              <w:instrText xml:space="preserve"> PAGEREF _Toc29369429 \h </w:instrText>
            </w:r>
            <w:r w:rsidR="006B7700">
              <w:rPr>
                <w:noProof/>
                <w:webHidden/>
              </w:rPr>
            </w:r>
            <w:r w:rsidR="006B7700">
              <w:rPr>
                <w:noProof/>
                <w:webHidden/>
              </w:rPr>
              <w:fldChar w:fldCharType="separate"/>
            </w:r>
            <w:r w:rsidR="006B7700">
              <w:rPr>
                <w:noProof/>
                <w:webHidden/>
              </w:rPr>
              <w:t>1</w:t>
            </w:r>
            <w:r w:rsidR="006B7700">
              <w:rPr>
                <w:noProof/>
                <w:webHidden/>
              </w:rPr>
              <w:fldChar w:fldCharType="end"/>
            </w:r>
          </w:hyperlink>
        </w:p>
        <w:p w14:paraId="473FC167" w14:textId="78CA5207" w:rsidR="006B7700" w:rsidRDefault="006B7700">
          <w:pPr>
            <w:pStyle w:val="Sadraj1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30" w:history="1">
            <w:r w:rsidRPr="003A2B4B">
              <w:rPr>
                <w:rStyle w:val="Hiperveza"/>
                <w:noProof/>
              </w:rPr>
              <w:t>2. Analiza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B54B9" w14:textId="3D7B4BC7" w:rsidR="006B7700" w:rsidRDefault="006B7700">
          <w:pPr>
            <w:pStyle w:val="Sadraj1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31" w:history="1">
            <w:r w:rsidRPr="003A2B4B">
              <w:rPr>
                <w:rStyle w:val="Hiperveza"/>
                <w:noProof/>
              </w:rPr>
              <w:t>3. Analiza cilja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21EA" w14:textId="5289F7B1" w:rsidR="006B7700" w:rsidRDefault="006B7700">
          <w:pPr>
            <w:pStyle w:val="Sadraj1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32" w:history="1">
            <w:r w:rsidRPr="003A2B4B">
              <w:rPr>
                <w:rStyle w:val="Hiperveza"/>
                <w:noProof/>
              </w:rPr>
              <w:t>4. Analiza strategije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C647" w14:textId="4AA87945" w:rsidR="006B7700" w:rsidRDefault="006B7700">
          <w:pPr>
            <w:pStyle w:val="Sadraj1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33" w:history="1">
            <w:r w:rsidRPr="003A2B4B">
              <w:rPr>
                <w:rStyle w:val="Hiperveza"/>
                <w:noProof/>
              </w:rPr>
              <w:t>5. Logički okvir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E7B71" w14:textId="3DFE9D96" w:rsidR="006B7700" w:rsidRDefault="006B7700">
          <w:pPr>
            <w:pStyle w:val="Sadraj1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34" w:history="1">
            <w:r w:rsidRPr="003A2B4B">
              <w:rPr>
                <w:rStyle w:val="Hiperveza"/>
                <w:rFonts w:eastAsia="Verdana"/>
                <w:noProof/>
              </w:rPr>
              <w:t>5. Upravljanje projektom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7C64" w14:textId="7C461C35" w:rsidR="006B7700" w:rsidRDefault="006B7700">
          <w:pPr>
            <w:pStyle w:val="Sadraj2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35" w:history="1">
            <w:r w:rsidRPr="003A2B4B">
              <w:rPr>
                <w:rStyle w:val="Hiperveza"/>
                <w:noProof/>
              </w:rPr>
              <w:t>5.1. Tehnički aspekti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AFBE" w14:textId="61D63E1A" w:rsidR="006B7700" w:rsidRDefault="006B7700">
          <w:pPr>
            <w:pStyle w:val="Sadraj2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36" w:history="1">
            <w:r w:rsidRPr="003A2B4B">
              <w:rPr>
                <w:rStyle w:val="Hiperveza"/>
                <w:noProof/>
              </w:rPr>
              <w:t>5.2. Vremenski aspekti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D454" w14:textId="7A09CD2D" w:rsidR="006B7700" w:rsidRDefault="006B7700">
          <w:pPr>
            <w:pStyle w:val="Sadraj2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37" w:history="1">
            <w:r w:rsidRPr="003A2B4B">
              <w:rPr>
                <w:rStyle w:val="Hiperveza"/>
                <w:noProof/>
              </w:rPr>
              <w:t>5.3. Financijski aspekti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7F39" w14:textId="6432EC5A" w:rsidR="006B7700" w:rsidRDefault="006B7700">
          <w:pPr>
            <w:pStyle w:val="Sadraj2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38" w:history="1">
            <w:r w:rsidRPr="003A2B4B">
              <w:rPr>
                <w:rStyle w:val="Hiperveza"/>
                <w:noProof/>
              </w:rPr>
              <w:t>5.4. Projektni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65FA" w14:textId="2E7A3FC4" w:rsidR="006B7700" w:rsidRDefault="006B7700">
          <w:pPr>
            <w:pStyle w:val="Sadraj1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39" w:history="1">
            <w:r w:rsidRPr="003A2B4B">
              <w:rPr>
                <w:rStyle w:val="Hiperveza"/>
                <w:rFonts w:eastAsia="Verdana"/>
                <w:noProof/>
              </w:rPr>
              <w:t>6. Ocjena opravdanosti investicije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1179" w14:textId="76293E39" w:rsidR="006B7700" w:rsidRDefault="006B7700">
          <w:pPr>
            <w:pStyle w:val="Sadraj1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40" w:history="1">
            <w:r w:rsidRPr="003A2B4B">
              <w:rPr>
                <w:rStyle w:val="Hiperveza"/>
                <w:noProof/>
              </w:rPr>
              <w:t>7.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06C7" w14:textId="05149195" w:rsidR="006B7700" w:rsidRDefault="006B7700">
          <w:pPr>
            <w:pStyle w:val="Sadraj1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41" w:history="1">
            <w:r w:rsidRPr="003A2B4B">
              <w:rPr>
                <w:rStyle w:val="Hiperveza"/>
                <w:noProof/>
              </w:rPr>
              <w:t>8.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71FA" w14:textId="3015A052" w:rsidR="00BB10B5" w:rsidRPr="00BB10B5" w:rsidRDefault="003A48C4">
          <w:pPr>
            <w:rPr>
              <w:b/>
              <w:bCs/>
              <w:noProof/>
            </w:rPr>
          </w:pPr>
          <w:r w:rsidRPr="00BB10B5">
            <w:rPr>
              <w:b/>
              <w:bCs/>
              <w:noProof/>
            </w:rPr>
            <w:fldChar w:fldCharType="end"/>
          </w:r>
        </w:p>
        <w:p w14:paraId="469A59F1" w14:textId="3D5F69D9" w:rsidR="00BB10B5" w:rsidRPr="00BB10B5" w:rsidRDefault="00BB10B5">
          <w:pPr>
            <w:rPr>
              <w:noProof/>
            </w:rPr>
          </w:pPr>
          <w:r w:rsidRPr="00BB10B5">
            <w:rPr>
              <w:b/>
              <w:bCs/>
              <w:noProof/>
              <w:color w:val="1F3864" w:themeColor="accent1" w:themeShade="80"/>
            </w:rPr>
            <w:t>Popis slika</w:t>
          </w:r>
          <w:r w:rsidRPr="00BB10B5">
            <w:rPr>
              <w:b/>
              <w:bCs/>
              <w:noProof/>
            </w:rPr>
            <w:fldChar w:fldCharType="begin"/>
          </w:r>
          <w:r w:rsidRPr="00BB10B5">
            <w:rPr>
              <w:b/>
              <w:bCs/>
              <w:noProof/>
            </w:rPr>
            <w:instrText xml:space="preserve"> TOC \h \z \c "Slika" </w:instrText>
          </w:r>
          <w:r w:rsidRPr="00BB10B5">
            <w:rPr>
              <w:b/>
              <w:bCs/>
              <w:noProof/>
            </w:rPr>
            <w:fldChar w:fldCharType="separate"/>
          </w:r>
        </w:p>
        <w:p w14:paraId="2A793BE8" w14:textId="7E243EE8" w:rsidR="00BB10B5" w:rsidRPr="00BB10B5" w:rsidRDefault="005432F6">
          <w:pPr>
            <w:pStyle w:val="Tablicaslika"/>
            <w:tabs>
              <w:tab w:val="right" w:leader="dot" w:pos="9062"/>
            </w:tabs>
            <w:rPr>
              <w:noProof/>
              <w:lang w:val="hr-BA" w:eastAsia="hr-BA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"_Toc28803004" </w:instrText>
          </w:r>
          <w:r w:rsidR="006B7700">
            <w:rPr>
              <w:noProof/>
            </w:rPr>
          </w:r>
          <w:r>
            <w:rPr>
              <w:noProof/>
            </w:rPr>
            <w:fldChar w:fldCharType="separate"/>
          </w:r>
          <w:r w:rsidR="00BB10B5" w:rsidRPr="00BB10B5">
            <w:rPr>
              <w:rStyle w:val="Hiperveza"/>
              <w:noProof/>
            </w:rPr>
            <w:t>Slika 1. Stablo analize problema</w:t>
          </w:r>
          <w:r w:rsidR="00BB10B5" w:rsidRPr="00BB10B5">
            <w:rPr>
              <w:noProof/>
              <w:webHidden/>
            </w:rPr>
            <w:tab/>
          </w:r>
          <w:r w:rsidR="00BB10B5" w:rsidRPr="00BB10B5">
            <w:rPr>
              <w:noProof/>
              <w:webHidden/>
            </w:rPr>
            <w:fldChar w:fldCharType="begin"/>
          </w:r>
          <w:r w:rsidR="00BB10B5" w:rsidRPr="00BB10B5">
            <w:rPr>
              <w:noProof/>
              <w:webHidden/>
            </w:rPr>
            <w:instrText xml:space="preserve"> PAGEREF _Toc28803004 \h </w:instrText>
          </w:r>
          <w:r w:rsidR="00BB10B5" w:rsidRPr="00BB10B5">
            <w:rPr>
              <w:noProof/>
              <w:webHidden/>
            </w:rPr>
          </w:r>
          <w:r w:rsidR="00BB10B5" w:rsidRPr="00BB10B5">
            <w:rPr>
              <w:noProof/>
              <w:webHidden/>
            </w:rPr>
            <w:fldChar w:fldCharType="separate"/>
          </w:r>
          <w:r w:rsidR="006B7700">
            <w:rPr>
              <w:noProof/>
              <w:webHidden/>
            </w:rPr>
            <w:t>4</w:t>
          </w:r>
          <w:r w:rsidR="00BB10B5" w:rsidRPr="00BB10B5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  <w:bookmarkStart w:id="0" w:name="_GoBack"/>
          <w:bookmarkEnd w:id="0"/>
        </w:p>
        <w:p w14:paraId="07FC0675" w14:textId="7BE4D783" w:rsidR="00BB10B5" w:rsidRPr="00BB10B5" w:rsidRDefault="005432F6">
          <w:pPr>
            <w:pStyle w:val="Tablicaslika"/>
            <w:tabs>
              <w:tab w:val="right" w:leader="dot" w:pos="9062"/>
            </w:tabs>
            <w:rPr>
              <w:noProof/>
              <w:lang w:val="hr-BA" w:eastAsia="hr-BA"/>
            </w:rPr>
          </w:pPr>
          <w:hyperlink w:anchor="_Toc28803005" w:history="1">
            <w:r w:rsidR="00BB10B5" w:rsidRPr="00BB10B5">
              <w:rPr>
                <w:rStyle w:val="Hiperveza"/>
                <w:noProof/>
              </w:rPr>
              <w:t>Slika 2. Stablo analize cilja</w:t>
            </w:r>
            <w:r w:rsidR="00BB10B5" w:rsidRPr="00BB10B5">
              <w:rPr>
                <w:noProof/>
                <w:webHidden/>
              </w:rPr>
              <w:tab/>
            </w:r>
            <w:r w:rsidR="00BB10B5" w:rsidRPr="00BB10B5">
              <w:rPr>
                <w:noProof/>
                <w:webHidden/>
              </w:rPr>
              <w:fldChar w:fldCharType="begin"/>
            </w:r>
            <w:r w:rsidR="00BB10B5" w:rsidRPr="00BB10B5">
              <w:rPr>
                <w:noProof/>
                <w:webHidden/>
              </w:rPr>
              <w:instrText xml:space="preserve"> PAGEREF _Toc28803005 \h </w:instrText>
            </w:r>
            <w:r w:rsidR="00BB10B5" w:rsidRPr="00BB10B5">
              <w:rPr>
                <w:noProof/>
                <w:webHidden/>
              </w:rPr>
            </w:r>
            <w:r w:rsidR="00BB10B5" w:rsidRPr="00BB10B5">
              <w:rPr>
                <w:noProof/>
                <w:webHidden/>
              </w:rPr>
              <w:fldChar w:fldCharType="separate"/>
            </w:r>
            <w:r w:rsidR="006B7700">
              <w:rPr>
                <w:noProof/>
                <w:webHidden/>
              </w:rPr>
              <w:t>6</w:t>
            </w:r>
            <w:r w:rsidR="00BB10B5" w:rsidRPr="00BB10B5">
              <w:rPr>
                <w:noProof/>
                <w:webHidden/>
              </w:rPr>
              <w:fldChar w:fldCharType="end"/>
            </w:r>
          </w:hyperlink>
        </w:p>
        <w:p w14:paraId="6A905B71" w14:textId="75A50BD7" w:rsidR="00BB10B5" w:rsidRPr="00BB10B5" w:rsidRDefault="005432F6">
          <w:pPr>
            <w:pStyle w:val="Tablicaslika"/>
            <w:tabs>
              <w:tab w:val="right" w:leader="dot" w:pos="9062"/>
            </w:tabs>
            <w:rPr>
              <w:noProof/>
              <w:lang w:val="hr-BA" w:eastAsia="hr-BA"/>
            </w:rPr>
          </w:pPr>
          <w:hyperlink w:anchor="_Toc28803006" w:history="1">
            <w:r w:rsidR="00BB10B5" w:rsidRPr="00BB10B5">
              <w:rPr>
                <w:rStyle w:val="Hiperveza"/>
                <w:noProof/>
              </w:rPr>
              <w:t>Slika 3. Gantogram</w:t>
            </w:r>
            <w:r w:rsidR="00BB10B5" w:rsidRPr="00BB10B5">
              <w:rPr>
                <w:noProof/>
                <w:webHidden/>
              </w:rPr>
              <w:tab/>
            </w:r>
            <w:r w:rsidR="00BB10B5" w:rsidRPr="00BB10B5">
              <w:rPr>
                <w:noProof/>
                <w:webHidden/>
              </w:rPr>
              <w:fldChar w:fldCharType="begin"/>
            </w:r>
            <w:r w:rsidR="00BB10B5" w:rsidRPr="00BB10B5">
              <w:rPr>
                <w:noProof/>
                <w:webHidden/>
              </w:rPr>
              <w:instrText xml:space="preserve"> PAGEREF _Toc28803006 \h </w:instrText>
            </w:r>
            <w:r w:rsidR="00BB10B5" w:rsidRPr="00BB10B5">
              <w:rPr>
                <w:noProof/>
                <w:webHidden/>
              </w:rPr>
            </w:r>
            <w:r w:rsidR="00BB10B5" w:rsidRPr="00BB10B5">
              <w:rPr>
                <w:noProof/>
                <w:webHidden/>
              </w:rPr>
              <w:fldChar w:fldCharType="separate"/>
            </w:r>
            <w:r w:rsidR="006B7700">
              <w:rPr>
                <w:noProof/>
                <w:webHidden/>
              </w:rPr>
              <w:t>12</w:t>
            </w:r>
            <w:r w:rsidR="00BB10B5" w:rsidRPr="00BB10B5">
              <w:rPr>
                <w:noProof/>
                <w:webHidden/>
              </w:rPr>
              <w:fldChar w:fldCharType="end"/>
            </w:r>
          </w:hyperlink>
        </w:p>
        <w:p w14:paraId="3F10ECF2" w14:textId="4BC27752" w:rsidR="00BB10B5" w:rsidRPr="00BB10B5" w:rsidRDefault="005432F6">
          <w:pPr>
            <w:pStyle w:val="Tablicaslika"/>
            <w:tabs>
              <w:tab w:val="right" w:leader="dot" w:pos="9062"/>
            </w:tabs>
            <w:rPr>
              <w:noProof/>
              <w:lang w:val="hr-BA" w:eastAsia="hr-BA"/>
            </w:rPr>
          </w:pPr>
          <w:hyperlink w:anchor="_Toc28803007" w:history="1">
            <w:r w:rsidR="00BB10B5" w:rsidRPr="00BB10B5">
              <w:rPr>
                <w:rStyle w:val="Hiperveza"/>
                <w:noProof/>
              </w:rPr>
              <w:t>Slika 4. Ušteda sredstava Zavoda za javno zdravstvo</w:t>
            </w:r>
            <w:r w:rsidR="00BB10B5" w:rsidRPr="00BB10B5">
              <w:rPr>
                <w:noProof/>
                <w:webHidden/>
              </w:rPr>
              <w:tab/>
            </w:r>
            <w:r w:rsidR="00BB10B5" w:rsidRPr="00BB10B5">
              <w:rPr>
                <w:noProof/>
                <w:webHidden/>
              </w:rPr>
              <w:fldChar w:fldCharType="begin"/>
            </w:r>
            <w:r w:rsidR="00BB10B5" w:rsidRPr="00BB10B5">
              <w:rPr>
                <w:noProof/>
                <w:webHidden/>
              </w:rPr>
              <w:instrText xml:space="preserve"> PAGEREF _Toc28803007 \h </w:instrText>
            </w:r>
            <w:r w:rsidR="00BB10B5" w:rsidRPr="00BB10B5">
              <w:rPr>
                <w:noProof/>
                <w:webHidden/>
              </w:rPr>
            </w:r>
            <w:r w:rsidR="00BB10B5" w:rsidRPr="00BB10B5">
              <w:rPr>
                <w:noProof/>
                <w:webHidden/>
              </w:rPr>
              <w:fldChar w:fldCharType="separate"/>
            </w:r>
            <w:r w:rsidR="006B7700">
              <w:rPr>
                <w:noProof/>
                <w:webHidden/>
              </w:rPr>
              <w:t>17</w:t>
            </w:r>
            <w:r w:rsidR="00BB10B5" w:rsidRPr="00BB10B5">
              <w:rPr>
                <w:noProof/>
                <w:webHidden/>
              </w:rPr>
              <w:fldChar w:fldCharType="end"/>
            </w:r>
          </w:hyperlink>
        </w:p>
        <w:p w14:paraId="2CF5FB50" w14:textId="77777777" w:rsidR="00BB10B5" w:rsidRPr="00BB10B5" w:rsidRDefault="00BB10B5">
          <w:pPr>
            <w:rPr>
              <w:b/>
              <w:bCs/>
              <w:noProof/>
            </w:rPr>
          </w:pPr>
          <w:r w:rsidRPr="00BB10B5">
            <w:rPr>
              <w:b/>
              <w:bCs/>
              <w:noProof/>
            </w:rPr>
            <w:fldChar w:fldCharType="end"/>
          </w:r>
        </w:p>
        <w:p w14:paraId="6886A979" w14:textId="77777777" w:rsidR="006B7700" w:rsidRDefault="00BB10B5">
          <w:pPr>
            <w:rPr>
              <w:noProof/>
            </w:rPr>
          </w:pPr>
          <w:r w:rsidRPr="00BB10B5">
            <w:rPr>
              <w:b/>
              <w:bCs/>
              <w:noProof/>
              <w:color w:val="1F3864" w:themeColor="accent1" w:themeShade="80"/>
            </w:rPr>
            <w:t>Popis tabela</w:t>
          </w:r>
          <w:r w:rsidR="003A48C4" w:rsidRPr="00BB10B5">
            <w:rPr>
              <w:b/>
              <w:bCs/>
              <w:noProof/>
            </w:rPr>
            <w:fldChar w:fldCharType="begin"/>
          </w:r>
          <w:r w:rsidR="003A48C4" w:rsidRPr="00BB10B5">
            <w:rPr>
              <w:b/>
              <w:bCs/>
              <w:noProof/>
            </w:rPr>
            <w:instrText xml:space="preserve"> TOC \h \z \c "Tabela" </w:instrText>
          </w:r>
          <w:r w:rsidR="003A48C4" w:rsidRPr="00BB10B5">
            <w:rPr>
              <w:b/>
              <w:bCs/>
              <w:noProof/>
            </w:rPr>
            <w:fldChar w:fldCharType="separate"/>
          </w:r>
        </w:p>
        <w:p w14:paraId="11207F38" w14:textId="3787C2A6" w:rsidR="006B7700" w:rsidRDefault="006B7700">
          <w:pPr>
            <w:pStyle w:val="Tablicaslika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52" w:history="1">
            <w:r w:rsidRPr="00571F83">
              <w:rPr>
                <w:rStyle w:val="Hiperveza"/>
                <w:noProof/>
              </w:rPr>
              <w:t>Tabela 1. Logički okvir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4F47" w14:textId="107097BC" w:rsidR="006B7700" w:rsidRDefault="006B7700">
          <w:pPr>
            <w:pStyle w:val="Tablicaslika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53" w:history="1">
            <w:r w:rsidRPr="00571F83">
              <w:rPr>
                <w:rStyle w:val="Hiperveza"/>
                <w:noProof/>
              </w:rPr>
              <w:t>Tabela 2. Tehnički aspekti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18A8" w14:textId="06F8BE60" w:rsidR="006B7700" w:rsidRDefault="006B7700">
          <w:pPr>
            <w:pStyle w:val="Tablicaslika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54" w:history="1">
            <w:r w:rsidRPr="00571F83">
              <w:rPr>
                <w:rStyle w:val="Hiperveza"/>
                <w:noProof/>
              </w:rPr>
              <w:t>Tabela 3. Projektne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B1E9" w14:textId="07A4CE54" w:rsidR="006B7700" w:rsidRDefault="006B7700">
          <w:pPr>
            <w:pStyle w:val="Tablicaslika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55" w:history="1">
            <w:r w:rsidRPr="00571F83">
              <w:rPr>
                <w:rStyle w:val="Hiperveza"/>
                <w:noProof/>
              </w:rPr>
              <w:t>Tabela 4. Troškovi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F90F" w14:textId="6AA15946" w:rsidR="006B7700" w:rsidRDefault="006B7700">
          <w:pPr>
            <w:pStyle w:val="Tablicaslika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56" w:history="1">
            <w:r w:rsidRPr="00571F83">
              <w:rPr>
                <w:rStyle w:val="Hiperveza"/>
                <w:noProof/>
              </w:rPr>
              <w:t>Tabela 5. Cijene korištenih resursa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7DE0" w14:textId="3CCCE063" w:rsidR="006B7700" w:rsidRDefault="006B7700">
          <w:pPr>
            <w:pStyle w:val="Tablicaslika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57" w:history="1">
            <w:r w:rsidRPr="00571F83">
              <w:rPr>
                <w:rStyle w:val="Hiperveza"/>
                <w:noProof/>
              </w:rPr>
              <w:t>Tabela 6. Projektni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FAE1" w14:textId="327BDB8D" w:rsidR="006B7700" w:rsidRDefault="006B7700">
          <w:pPr>
            <w:pStyle w:val="Tablicaslika"/>
            <w:tabs>
              <w:tab w:val="right" w:leader="dot" w:pos="9062"/>
            </w:tabs>
            <w:rPr>
              <w:rFonts w:asciiTheme="minorHAnsi" w:hAnsiTheme="minorHAnsi"/>
              <w:noProof/>
              <w:lang w:val="hr-HR" w:eastAsia="hr-HR"/>
            </w:rPr>
          </w:pPr>
          <w:hyperlink w:anchor="_Toc29369458" w:history="1">
            <w:r w:rsidRPr="00571F83">
              <w:rPr>
                <w:rStyle w:val="Hiperveza"/>
                <w:noProof/>
              </w:rPr>
              <w:t>Tabela 7. Mjesečne potrebe dijabetičara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_Toc29369458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F1D7" w14:textId="2B0F8E31" w:rsidR="003A48C4" w:rsidRPr="00BB10B5" w:rsidRDefault="003A48C4" w:rsidP="00BB10B5">
          <w:pPr>
            <w:rPr>
              <w:sz w:val="24"/>
              <w:szCs w:val="24"/>
            </w:rPr>
          </w:pPr>
          <w:r w:rsidRPr="00BB10B5"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575EC43" w14:textId="1A2E4BA7" w:rsidR="00FA0443" w:rsidRPr="003A48C4" w:rsidRDefault="00FA0443" w:rsidP="003A48C4">
      <w:pPr>
        <w:pStyle w:val="tekst"/>
        <w:rPr>
          <w:b/>
          <w:bCs/>
          <w:color w:val="1F3864" w:themeColor="accent1" w:themeShade="80"/>
          <w:sz w:val="28"/>
          <w:szCs w:val="28"/>
        </w:rPr>
      </w:pPr>
      <w:r w:rsidRPr="003A48C4">
        <w:rPr>
          <w:b/>
          <w:bCs/>
          <w:color w:val="1F3864" w:themeColor="accent1" w:themeShade="80"/>
          <w:sz w:val="28"/>
          <w:szCs w:val="28"/>
        </w:rPr>
        <w:t>Sažetak</w:t>
      </w:r>
    </w:p>
    <w:p w14:paraId="7D18F6F8" w14:textId="41C775DD" w:rsidR="00E95F14" w:rsidRDefault="00E95F14" w:rsidP="00E95F14"/>
    <w:p w14:paraId="527538E1" w14:textId="77777777" w:rsidR="00B635C5" w:rsidRDefault="00672D3C" w:rsidP="00672D3C">
      <w:pPr>
        <w:pStyle w:val="tekst"/>
        <w:rPr>
          <w:sz w:val="24"/>
          <w:szCs w:val="24"/>
        </w:rPr>
      </w:pPr>
      <w:r w:rsidRPr="00672D3C">
        <w:rPr>
          <w:sz w:val="24"/>
          <w:szCs w:val="24"/>
        </w:rPr>
        <w:t xml:space="preserve">Prehrana u školskoj dobi je ključna za razvoj. Učenicima se u školama uglavnom ne nude nutritivno kvalitetni obroci. Ovim projektom bi se omogućilo da svakodnevno imaju izbor kuhanih jela, voća i povrća prilagođenih potrebama uzrasta, kao i da usvoje potrebna znanja kako bi shvatili ulogu dobre ishrane u prevenciji bolesti. </w:t>
      </w:r>
    </w:p>
    <w:p w14:paraId="116D50A5" w14:textId="2C74426F" w:rsidR="00B635C5" w:rsidRDefault="00672D3C" w:rsidP="00672D3C">
      <w:pPr>
        <w:pStyle w:val="tekst"/>
        <w:rPr>
          <w:sz w:val="24"/>
          <w:szCs w:val="24"/>
        </w:rPr>
      </w:pPr>
      <w:r w:rsidRPr="00672D3C">
        <w:rPr>
          <w:sz w:val="24"/>
          <w:szCs w:val="24"/>
        </w:rPr>
        <w:t xml:space="preserve">Realizacija će trajati oko </w:t>
      </w:r>
      <w:r w:rsidR="00B635C5">
        <w:rPr>
          <w:sz w:val="24"/>
          <w:szCs w:val="24"/>
        </w:rPr>
        <w:t xml:space="preserve">10 </w:t>
      </w:r>
      <w:r w:rsidRPr="00672D3C">
        <w:rPr>
          <w:sz w:val="24"/>
          <w:szCs w:val="24"/>
        </w:rPr>
        <w:t>mjesec</w:t>
      </w:r>
      <w:r w:rsidR="00B635C5">
        <w:rPr>
          <w:sz w:val="24"/>
          <w:szCs w:val="24"/>
        </w:rPr>
        <w:t>i</w:t>
      </w:r>
      <w:r w:rsidRPr="00672D3C">
        <w:rPr>
          <w:sz w:val="24"/>
          <w:szCs w:val="24"/>
        </w:rPr>
        <w:t>, a u prvoj fazi će nutricioniti i liječnici osmisliti nekoliko uravnoteženih jela i užina, te će pripremiti edukativne materijale. U drugoj fazi, bit će obavljena edukacija</w:t>
      </w:r>
      <w:r w:rsidR="00B635C5">
        <w:rPr>
          <w:sz w:val="24"/>
          <w:szCs w:val="24"/>
        </w:rPr>
        <w:t xml:space="preserve"> </w:t>
      </w:r>
      <w:r w:rsidRPr="00672D3C">
        <w:rPr>
          <w:sz w:val="24"/>
          <w:szCs w:val="24"/>
        </w:rPr>
        <w:t>nastavnika</w:t>
      </w:r>
      <w:r w:rsidR="00B635C5">
        <w:rPr>
          <w:sz w:val="24"/>
          <w:szCs w:val="24"/>
        </w:rPr>
        <w:t xml:space="preserve"> te će biti realiziran javni natječaj za dobavljače hrane u školama</w:t>
      </w:r>
      <w:r w:rsidRPr="00672D3C">
        <w:rPr>
          <w:sz w:val="24"/>
          <w:szCs w:val="24"/>
        </w:rPr>
        <w:t>. U trećoj fazi,</w:t>
      </w:r>
      <w:r w:rsidR="00B635C5">
        <w:rPr>
          <w:sz w:val="24"/>
          <w:szCs w:val="24"/>
        </w:rPr>
        <w:t xml:space="preserve"> koja počinje kad i školska godine,</w:t>
      </w:r>
      <w:r w:rsidRPr="00672D3C">
        <w:rPr>
          <w:sz w:val="24"/>
          <w:szCs w:val="24"/>
        </w:rPr>
        <w:t xml:space="preserve"> zdrava jela i užine će se moći kupiti u školi, </w:t>
      </w:r>
      <w:r w:rsidR="00B635C5">
        <w:rPr>
          <w:sz w:val="24"/>
          <w:szCs w:val="24"/>
        </w:rPr>
        <w:t xml:space="preserve">realizirat će se radionice, </w:t>
      </w:r>
      <w:r w:rsidRPr="00672D3C">
        <w:rPr>
          <w:sz w:val="24"/>
          <w:szCs w:val="24"/>
        </w:rPr>
        <w:t xml:space="preserve">a u školama će se postaviti i informativni plakati. </w:t>
      </w:r>
    </w:p>
    <w:p w14:paraId="6E874B36" w14:textId="574BC910" w:rsidR="00B51E40" w:rsidRPr="00672D3C" w:rsidRDefault="00672D3C" w:rsidP="00672D3C">
      <w:pPr>
        <w:pStyle w:val="tekst"/>
        <w:rPr>
          <w:sz w:val="24"/>
          <w:szCs w:val="24"/>
        </w:rPr>
      </w:pPr>
      <w:r w:rsidRPr="00672D3C">
        <w:rPr>
          <w:sz w:val="24"/>
          <w:szCs w:val="24"/>
        </w:rPr>
        <w:t>Nakon ovog perioda, učenici će imati veće znanje o hrani koju jedu te će svakodnevno imati dostupne zdrave obroke.</w:t>
      </w:r>
    </w:p>
    <w:p w14:paraId="072579BF" w14:textId="43BC44A4" w:rsidR="002B6C11" w:rsidRPr="00D04B22" w:rsidRDefault="002B6C11" w:rsidP="001469CA">
      <w:pPr>
        <w:spacing w:after="0"/>
        <w:contextualSpacing/>
        <w:rPr>
          <w:sz w:val="24"/>
          <w:szCs w:val="24"/>
        </w:rPr>
      </w:pPr>
    </w:p>
    <w:p w14:paraId="28A22085" w14:textId="6EC65918" w:rsidR="002B6C11" w:rsidRPr="00D04B22" w:rsidRDefault="002B6C11" w:rsidP="001469CA">
      <w:pPr>
        <w:spacing w:after="0"/>
        <w:contextualSpacing/>
        <w:rPr>
          <w:sz w:val="24"/>
          <w:szCs w:val="24"/>
        </w:rPr>
      </w:pPr>
    </w:p>
    <w:p w14:paraId="4A54D233" w14:textId="77777777" w:rsidR="002B6C11" w:rsidRPr="00D04B22" w:rsidRDefault="002B6C11" w:rsidP="001469CA">
      <w:pPr>
        <w:spacing w:after="0"/>
        <w:contextualSpacing/>
        <w:rPr>
          <w:sz w:val="24"/>
          <w:szCs w:val="24"/>
        </w:rPr>
      </w:pPr>
    </w:p>
    <w:p w14:paraId="1907723C" w14:textId="03FED95F" w:rsidR="00B75C19" w:rsidRPr="00D04B22" w:rsidRDefault="00B51E40" w:rsidP="001469CA">
      <w:pPr>
        <w:spacing w:after="0"/>
        <w:contextualSpacing/>
        <w:rPr>
          <w:sz w:val="24"/>
          <w:szCs w:val="24"/>
        </w:rPr>
      </w:pPr>
      <w:r w:rsidRPr="00D04B22">
        <w:rPr>
          <w:sz w:val="24"/>
          <w:szCs w:val="24"/>
        </w:rPr>
        <w:t xml:space="preserve">Ključne riječi:  </w:t>
      </w:r>
      <w:r w:rsidR="009B669F" w:rsidRPr="00D04B22">
        <w:rPr>
          <w:sz w:val="24"/>
          <w:szCs w:val="24"/>
        </w:rPr>
        <w:t>Zdravlje, Prehrana</w:t>
      </w:r>
      <w:r w:rsidR="00B635C5">
        <w:rPr>
          <w:sz w:val="24"/>
          <w:szCs w:val="24"/>
        </w:rPr>
        <w:t>, Škole, Djeca, Gojaznost</w:t>
      </w:r>
    </w:p>
    <w:p w14:paraId="0813EFA4" w14:textId="7FDD0944" w:rsidR="00B51E40" w:rsidRDefault="00B51E40" w:rsidP="001469CA">
      <w:pPr>
        <w:spacing w:after="0"/>
        <w:contextualSpacing/>
      </w:pPr>
    </w:p>
    <w:p w14:paraId="5DB979BA" w14:textId="77777777" w:rsidR="00B51E40" w:rsidRDefault="00B51E40" w:rsidP="001469CA">
      <w:pPr>
        <w:spacing w:after="0"/>
        <w:contextualSpacing/>
        <w:rPr>
          <w:rFonts w:eastAsia="Verdana" w:cs="Verdana"/>
        </w:rPr>
      </w:pPr>
    </w:p>
    <w:p w14:paraId="1A6BB2BA" w14:textId="3C941C1E" w:rsidR="00E91A2D" w:rsidRPr="00167574" w:rsidRDefault="00E91A2D" w:rsidP="001469CA">
      <w:pPr>
        <w:spacing w:after="0"/>
        <w:contextualSpacing/>
        <w:rPr>
          <w:rFonts w:eastAsia="Verdana" w:cs="Verdana"/>
        </w:rPr>
        <w:sectPr w:rsidR="00E91A2D" w:rsidRPr="00167574" w:rsidSect="00B7062E"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pgNumType w:start="1"/>
          <w:cols w:space="720"/>
          <w:docGrid w:linePitch="299"/>
        </w:sectPr>
      </w:pPr>
    </w:p>
    <w:p w14:paraId="1EAED071" w14:textId="28A594EF" w:rsidR="00FA0443" w:rsidRPr="00D04B22" w:rsidRDefault="00077012" w:rsidP="00D04B22">
      <w:pPr>
        <w:pStyle w:val="Naslov1"/>
      </w:pPr>
      <w:bookmarkStart w:id="1" w:name="_Toc29369429"/>
      <w:r w:rsidRPr="00D04B22">
        <w:lastRenderedPageBreak/>
        <w:t xml:space="preserve">1. </w:t>
      </w:r>
      <w:r w:rsidR="00FA0443" w:rsidRPr="00D04B22">
        <w:t>Uvod</w:t>
      </w:r>
      <w:bookmarkEnd w:id="1"/>
    </w:p>
    <w:p w14:paraId="38EEA4FF" w14:textId="30E48A8A" w:rsidR="00326317" w:rsidRPr="00D04B22" w:rsidRDefault="0033270A" w:rsidP="0033270A">
      <w:pPr>
        <w:rPr>
          <w:sz w:val="24"/>
          <w:szCs w:val="24"/>
        </w:rPr>
      </w:pPr>
      <w:r w:rsidRPr="00D04B22">
        <w:rPr>
          <w:sz w:val="24"/>
          <w:szCs w:val="24"/>
        </w:rPr>
        <w:t>Projekat 'Zdrava hrana u školama' je incijativa za poboljšanje prehrane djece u Kantonu Sarajevo koja doprinosi općem cilju poboljšanja zdravlja i prehrane stanovništva.</w:t>
      </w:r>
      <w:r w:rsidR="001A6D05" w:rsidRPr="00D04B22">
        <w:rPr>
          <w:sz w:val="24"/>
          <w:szCs w:val="24"/>
        </w:rPr>
        <w:t xml:space="preserve"> </w:t>
      </w:r>
    </w:p>
    <w:p w14:paraId="669733C5" w14:textId="581926C2" w:rsidR="00077012" w:rsidRPr="00D04B22" w:rsidRDefault="00326317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t xml:space="preserve">Analizom problema uspostavljene su relacije između različitih uzroka i posljedica te je na osnovu njih kreirano stablo problema. Prijedlozima rješenja za prepoznate probleme </w:t>
      </w:r>
      <w:r w:rsidR="0033270A" w:rsidRPr="00D04B22">
        <w:rPr>
          <w:rFonts w:eastAsia="Verdana" w:cs="Verdana"/>
          <w:bCs/>
          <w:sz w:val="24"/>
          <w:szCs w:val="24"/>
        </w:rPr>
        <w:t>kreirano je stablo rješenja. Odabrana je strategija koja će učenicima pružiti pristup znanju i podržati zdrave prehrambene navike.</w:t>
      </w:r>
    </w:p>
    <w:p w14:paraId="7E82EF3E" w14:textId="04E4C6C4" w:rsidR="00077012" w:rsidRPr="00D04B22" w:rsidRDefault="00077012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</w:p>
    <w:p w14:paraId="57A9F3B7" w14:textId="07DE5AA6" w:rsidR="00077012" w:rsidRPr="00D04B22" w:rsidRDefault="001A6D05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t>U projektnom planu opisane su aktivnosti, potrebni resursi i troškovi koji će omogućiti da se kroz planirani period od 10 mjeseci realiziraju ciljevi projekta.</w:t>
      </w:r>
    </w:p>
    <w:p w14:paraId="784839B7" w14:textId="05DB1027" w:rsidR="001A6D05" w:rsidRPr="00D04B22" w:rsidRDefault="001A6D05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</w:p>
    <w:p w14:paraId="40076695" w14:textId="31DF1A35" w:rsidR="001A6D05" w:rsidRPr="00D04B22" w:rsidRDefault="001A6D05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t>Projekat je pokrenut na inicijativu Ministarstva zdravstva Kantona Sarajevo i ima karakter društveno-korisnog projekta. Određene su sve koristi projekta – za pojedinca i za zajednicu, kao i eventualne financijske koristi.</w:t>
      </w:r>
    </w:p>
    <w:p w14:paraId="1F63C4E2" w14:textId="27B8B3DD" w:rsidR="00167574" w:rsidRPr="00D04B22" w:rsidRDefault="00167574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br w:type="page"/>
      </w:r>
    </w:p>
    <w:p w14:paraId="13BA6FFE" w14:textId="37C19700" w:rsidR="001469CA" w:rsidRPr="001469CA" w:rsidRDefault="00167574" w:rsidP="00D04B22">
      <w:pPr>
        <w:pStyle w:val="Naslov1"/>
      </w:pPr>
      <w:bookmarkStart w:id="2" w:name="_Toc29369430"/>
      <w:r w:rsidRPr="001469CA">
        <w:lastRenderedPageBreak/>
        <w:t>2. Analiza problema</w:t>
      </w:r>
      <w:bookmarkEnd w:id="2"/>
    </w:p>
    <w:p w14:paraId="5AAE7883" w14:textId="22B13E90" w:rsidR="0048007D" w:rsidRPr="00D04B22" w:rsidRDefault="00153C80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t>Prema podacima Svjetske zdravstvene organizacije prevalencija gojaznosti se utrostručila od 1975. do 2016. godine.</w:t>
      </w:r>
      <w:r w:rsidR="00827981" w:rsidRPr="00D04B22">
        <w:rPr>
          <w:rFonts w:eastAsia="Verdana" w:cs="Verdana"/>
          <w:bCs/>
          <w:sz w:val="24"/>
          <w:szCs w:val="24"/>
        </w:rPr>
        <w:t xml:space="preserve"> Procjenjuje se da je </w:t>
      </w:r>
      <w:r w:rsidR="00B3739E" w:rsidRPr="00D04B22">
        <w:rPr>
          <w:rFonts w:eastAsia="Verdana" w:cs="Verdana"/>
          <w:bCs/>
          <w:sz w:val="24"/>
          <w:szCs w:val="24"/>
        </w:rPr>
        <w:t xml:space="preserve">u 2016. godini 39% </w:t>
      </w:r>
      <w:r w:rsidR="00DE2390" w:rsidRPr="00D04B22">
        <w:rPr>
          <w:rFonts w:eastAsia="Verdana" w:cs="Verdana"/>
          <w:bCs/>
          <w:sz w:val="24"/>
          <w:szCs w:val="24"/>
        </w:rPr>
        <w:t>odraslih ljudi (18 godina i više starosne dobi)</w:t>
      </w:r>
      <w:r w:rsidR="00CD2355" w:rsidRPr="00D04B22">
        <w:rPr>
          <w:rFonts w:eastAsia="Verdana" w:cs="Verdana"/>
          <w:bCs/>
          <w:sz w:val="24"/>
          <w:szCs w:val="24"/>
        </w:rPr>
        <w:t xml:space="preserve"> imalo prekomjer</w:t>
      </w:r>
      <w:r w:rsidR="009D21B3" w:rsidRPr="00D04B22">
        <w:rPr>
          <w:rFonts w:eastAsia="Verdana" w:cs="Verdana"/>
          <w:bCs/>
          <w:sz w:val="24"/>
          <w:szCs w:val="24"/>
        </w:rPr>
        <w:t>n</w:t>
      </w:r>
      <w:r w:rsidR="00CD2355" w:rsidRPr="00D04B22">
        <w:rPr>
          <w:rFonts w:eastAsia="Verdana" w:cs="Verdana"/>
          <w:bCs/>
          <w:sz w:val="24"/>
          <w:szCs w:val="24"/>
        </w:rPr>
        <w:t xml:space="preserve">u tjelesnu masu, a 13% </w:t>
      </w:r>
      <w:r w:rsidR="00817A1E" w:rsidRPr="00D04B22">
        <w:rPr>
          <w:rFonts w:eastAsia="Verdana" w:cs="Verdana"/>
          <w:bCs/>
          <w:sz w:val="24"/>
          <w:szCs w:val="24"/>
        </w:rPr>
        <w:t xml:space="preserve">je bilo oboljelih od gojaznosti. </w:t>
      </w:r>
      <w:r w:rsidR="00DD29EC" w:rsidRPr="00D04B22">
        <w:rPr>
          <w:rFonts w:eastAsia="Verdana" w:cs="Verdana"/>
          <w:bCs/>
          <w:sz w:val="24"/>
          <w:szCs w:val="24"/>
        </w:rPr>
        <w:t>Danas je</w:t>
      </w:r>
      <w:r w:rsidR="00B809EE" w:rsidRPr="00D04B22">
        <w:rPr>
          <w:rFonts w:eastAsia="Verdana" w:cs="Verdana"/>
          <w:bCs/>
          <w:sz w:val="24"/>
          <w:szCs w:val="24"/>
        </w:rPr>
        <w:t xml:space="preserve"> u svijetu veći broj smrtni ishoda povezan sa </w:t>
      </w:r>
      <w:r w:rsidR="00884A06" w:rsidRPr="00D04B22">
        <w:rPr>
          <w:rFonts w:eastAsia="Verdana" w:cs="Verdana"/>
          <w:bCs/>
          <w:sz w:val="24"/>
          <w:szCs w:val="24"/>
        </w:rPr>
        <w:t>prekomjerno</w:t>
      </w:r>
      <w:r w:rsidR="00F04BF9" w:rsidRPr="00D04B22">
        <w:rPr>
          <w:rFonts w:eastAsia="Verdana" w:cs="Verdana"/>
          <w:bCs/>
          <w:sz w:val="24"/>
          <w:szCs w:val="24"/>
        </w:rPr>
        <w:t>m tjelesnom masom</w:t>
      </w:r>
      <w:r w:rsidR="00884A06" w:rsidRPr="00D04B22">
        <w:rPr>
          <w:rFonts w:eastAsia="Verdana" w:cs="Verdana"/>
          <w:bCs/>
          <w:sz w:val="24"/>
          <w:szCs w:val="24"/>
        </w:rPr>
        <w:t xml:space="preserve"> nego sa </w:t>
      </w:r>
      <w:r w:rsidR="00F04BF9" w:rsidRPr="00D04B22">
        <w:rPr>
          <w:rFonts w:eastAsia="Verdana" w:cs="Verdana"/>
          <w:bCs/>
          <w:sz w:val="24"/>
          <w:szCs w:val="24"/>
        </w:rPr>
        <w:t xml:space="preserve">pothranjenošću. </w:t>
      </w:r>
      <w:r w:rsidR="00C61613" w:rsidRPr="00D04B22">
        <w:rPr>
          <w:rFonts w:eastAsia="Verdana" w:cs="Verdana"/>
          <w:bCs/>
          <w:sz w:val="24"/>
          <w:szCs w:val="24"/>
        </w:rPr>
        <w:t xml:space="preserve">Debljina, a posebno gojaznost </w:t>
      </w:r>
      <w:r w:rsidR="00A50B9D" w:rsidRPr="00D04B22">
        <w:rPr>
          <w:rFonts w:eastAsia="Verdana" w:cs="Verdana"/>
          <w:bCs/>
          <w:sz w:val="24"/>
          <w:szCs w:val="24"/>
        </w:rPr>
        <w:t xml:space="preserve">su </w:t>
      </w:r>
      <w:r w:rsidR="00ED40B7" w:rsidRPr="00D04B22">
        <w:rPr>
          <w:rFonts w:eastAsia="Verdana" w:cs="Verdana"/>
          <w:bCs/>
          <w:sz w:val="24"/>
          <w:szCs w:val="24"/>
        </w:rPr>
        <w:t xml:space="preserve">glavni faktor rizika za </w:t>
      </w:r>
      <w:r w:rsidR="003E503C" w:rsidRPr="00D04B22">
        <w:rPr>
          <w:rFonts w:eastAsia="Verdana" w:cs="Verdana"/>
          <w:bCs/>
          <w:sz w:val="24"/>
          <w:szCs w:val="24"/>
        </w:rPr>
        <w:t xml:space="preserve">razvoj </w:t>
      </w:r>
      <w:r w:rsidR="00ED1D77" w:rsidRPr="00D04B22">
        <w:rPr>
          <w:rFonts w:eastAsia="Verdana" w:cs="Verdana"/>
          <w:bCs/>
          <w:sz w:val="24"/>
          <w:szCs w:val="24"/>
        </w:rPr>
        <w:t xml:space="preserve">brojnih </w:t>
      </w:r>
      <w:r w:rsidR="00F401F4" w:rsidRPr="00D04B22">
        <w:rPr>
          <w:rFonts w:eastAsia="Verdana" w:cs="Verdana"/>
          <w:bCs/>
          <w:sz w:val="24"/>
          <w:szCs w:val="24"/>
        </w:rPr>
        <w:t>zabrinjavajućih stanja i oboljenja</w:t>
      </w:r>
      <w:r w:rsidR="00A92122" w:rsidRPr="00D04B22">
        <w:rPr>
          <w:rFonts w:eastAsia="Verdana" w:cs="Verdana"/>
          <w:bCs/>
          <w:sz w:val="24"/>
          <w:szCs w:val="24"/>
        </w:rPr>
        <w:t xml:space="preserve"> od kojih su neka: kardiovaskularna oboljenja </w:t>
      </w:r>
      <w:r w:rsidR="00F85472" w:rsidRPr="00D04B22">
        <w:rPr>
          <w:rFonts w:eastAsia="Verdana" w:cs="Verdana"/>
          <w:bCs/>
          <w:sz w:val="24"/>
          <w:szCs w:val="24"/>
        </w:rPr>
        <w:t>(vodeći uzrok smrti u 201</w:t>
      </w:r>
      <w:r w:rsidR="00E77D1B" w:rsidRPr="00D04B22">
        <w:rPr>
          <w:rFonts w:eastAsia="Verdana" w:cs="Verdana"/>
          <w:bCs/>
          <w:sz w:val="24"/>
          <w:szCs w:val="24"/>
        </w:rPr>
        <w:t>6</w:t>
      </w:r>
      <w:r w:rsidR="00F85472" w:rsidRPr="00D04B22">
        <w:rPr>
          <w:rFonts w:eastAsia="Verdana" w:cs="Verdana"/>
          <w:bCs/>
          <w:sz w:val="24"/>
          <w:szCs w:val="24"/>
        </w:rPr>
        <w:t>.</w:t>
      </w:r>
      <w:r w:rsidR="00EF0267" w:rsidRPr="00D04B22">
        <w:rPr>
          <w:rFonts w:eastAsia="Verdana" w:cs="Verdana"/>
          <w:bCs/>
          <w:sz w:val="24"/>
          <w:szCs w:val="24"/>
        </w:rPr>
        <w:t>)</w:t>
      </w:r>
      <w:r w:rsidR="00E77D1B" w:rsidRPr="00D04B22">
        <w:rPr>
          <w:rFonts w:eastAsia="Verdana" w:cs="Verdana"/>
          <w:bCs/>
          <w:sz w:val="24"/>
          <w:szCs w:val="24"/>
        </w:rPr>
        <w:t xml:space="preserve">, </w:t>
      </w:r>
      <w:r w:rsidR="00AC4367" w:rsidRPr="00D04B22">
        <w:rPr>
          <w:rFonts w:eastAsia="Verdana" w:cs="Verdana"/>
          <w:bCs/>
          <w:sz w:val="24"/>
          <w:szCs w:val="24"/>
        </w:rPr>
        <w:t>dijabetes, poreme</w:t>
      </w:r>
      <w:r w:rsidR="002C21F9" w:rsidRPr="00D04B22">
        <w:rPr>
          <w:rFonts w:eastAsia="Verdana" w:cs="Verdana"/>
          <w:bCs/>
          <w:sz w:val="24"/>
          <w:szCs w:val="24"/>
        </w:rPr>
        <w:t>ćaji</w:t>
      </w:r>
      <w:r w:rsidR="00BC30A2" w:rsidRPr="00D04B22">
        <w:rPr>
          <w:rFonts w:eastAsia="Verdana" w:cs="Verdana"/>
          <w:bCs/>
          <w:sz w:val="24"/>
          <w:szCs w:val="24"/>
        </w:rPr>
        <w:t xml:space="preserve"> mišićno-koštanog sustava</w:t>
      </w:r>
      <w:r w:rsidR="004870A4" w:rsidRPr="00D04B22">
        <w:rPr>
          <w:rFonts w:eastAsia="Verdana" w:cs="Verdana"/>
          <w:bCs/>
          <w:sz w:val="24"/>
          <w:szCs w:val="24"/>
        </w:rPr>
        <w:t xml:space="preserve"> i</w:t>
      </w:r>
      <w:r w:rsidR="00BC30A2" w:rsidRPr="00D04B22">
        <w:rPr>
          <w:rFonts w:eastAsia="Verdana" w:cs="Verdana"/>
          <w:bCs/>
          <w:sz w:val="24"/>
          <w:szCs w:val="24"/>
        </w:rPr>
        <w:t xml:space="preserve"> </w:t>
      </w:r>
      <w:r w:rsidR="00815C9D" w:rsidRPr="00D04B22">
        <w:rPr>
          <w:rFonts w:eastAsia="Verdana" w:cs="Verdana"/>
          <w:bCs/>
          <w:sz w:val="24"/>
          <w:szCs w:val="24"/>
        </w:rPr>
        <w:t>neki tipovi raka</w:t>
      </w:r>
      <w:r w:rsidR="004870A4" w:rsidRPr="00D04B22">
        <w:rPr>
          <w:rFonts w:eastAsia="Verdana" w:cs="Verdana"/>
          <w:bCs/>
          <w:sz w:val="24"/>
          <w:szCs w:val="24"/>
        </w:rPr>
        <w:t>.</w:t>
      </w:r>
    </w:p>
    <w:p w14:paraId="5A382C67" w14:textId="77777777" w:rsidR="00E13B39" w:rsidRPr="00D04B22" w:rsidRDefault="00E13B39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</w:p>
    <w:p w14:paraId="4F390ACD" w14:textId="58A04690" w:rsidR="00B36FAD" w:rsidRPr="00D04B22" w:rsidRDefault="006348F0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t xml:space="preserve">Gojaznost u dječijoj dobi </w:t>
      </w:r>
      <w:r w:rsidR="0004462E" w:rsidRPr="00D04B22">
        <w:rPr>
          <w:rFonts w:eastAsia="Verdana" w:cs="Verdana"/>
          <w:bCs/>
          <w:sz w:val="24"/>
          <w:szCs w:val="24"/>
        </w:rPr>
        <w:t>je povezana sa većim izgledima za gojaznost, ranu smrt i</w:t>
      </w:r>
      <w:r w:rsidR="00E62CF5" w:rsidRPr="00D04B22">
        <w:rPr>
          <w:rFonts w:eastAsia="Verdana" w:cs="Verdana"/>
          <w:bCs/>
          <w:sz w:val="24"/>
          <w:szCs w:val="24"/>
        </w:rPr>
        <w:t xml:space="preserve"> invaliditet u odrasloj dobi. </w:t>
      </w:r>
      <w:r w:rsidR="000A3C8E" w:rsidRPr="00D04B22">
        <w:rPr>
          <w:rFonts w:eastAsia="Verdana" w:cs="Verdana"/>
          <w:bCs/>
          <w:sz w:val="24"/>
          <w:szCs w:val="24"/>
        </w:rPr>
        <w:t xml:space="preserve">Pored dugoročnih posljedica, također </w:t>
      </w:r>
      <w:r w:rsidR="009F1FB4" w:rsidRPr="00D04B22">
        <w:rPr>
          <w:rFonts w:eastAsia="Verdana" w:cs="Verdana"/>
          <w:bCs/>
          <w:sz w:val="24"/>
          <w:szCs w:val="24"/>
        </w:rPr>
        <w:t>ut</w:t>
      </w:r>
      <w:r w:rsidR="00B22963" w:rsidRPr="00D04B22">
        <w:rPr>
          <w:rFonts w:eastAsia="Verdana" w:cs="Verdana"/>
          <w:bCs/>
          <w:sz w:val="24"/>
          <w:szCs w:val="24"/>
        </w:rPr>
        <w:t>iče i na trenutnu kvalitetu života, tj. otežava svakodnevne aktivnosti</w:t>
      </w:r>
      <w:r w:rsidR="004F4385" w:rsidRPr="00D04B22">
        <w:rPr>
          <w:rFonts w:eastAsia="Verdana" w:cs="Verdana"/>
          <w:bCs/>
          <w:sz w:val="24"/>
          <w:szCs w:val="24"/>
        </w:rPr>
        <w:t xml:space="preserve"> i </w:t>
      </w:r>
      <w:r w:rsidR="00B407EE" w:rsidRPr="00D04B22">
        <w:rPr>
          <w:rFonts w:eastAsia="Verdana" w:cs="Verdana"/>
          <w:bCs/>
          <w:sz w:val="24"/>
          <w:szCs w:val="24"/>
        </w:rPr>
        <w:t>ima psiholo</w:t>
      </w:r>
      <w:r w:rsidR="0035777A" w:rsidRPr="00D04B22">
        <w:rPr>
          <w:rFonts w:eastAsia="Verdana" w:cs="Verdana"/>
          <w:bCs/>
          <w:sz w:val="24"/>
          <w:szCs w:val="24"/>
        </w:rPr>
        <w:t xml:space="preserve">ške </w:t>
      </w:r>
      <w:r w:rsidR="004D51DA" w:rsidRPr="00D04B22">
        <w:rPr>
          <w:rFonts w:eastAsia="Verdana" w:cs="Verdana"/>
          <w:bCs/>
          <w:sz w:val="24"/>
          <w:szCs w:val="24"/>
        </w:rPr>
        <w:t xml:space="preserve">i psihijatrijske </w:t>
      </w:r>
      <w:r w:rsidR="0035777A" w:rsidRPr="00D04B22">
        <w:rPr>
          <w:rFonts w:eastAsia="Verdana" w:cs="Verdana"/>
          <w:bCs/>
          <w:sz w:val="24"/>
          <w:szCs w:val="24"/>
        </w:rPr>
        <w:t xml:space="preserve">posljedice </w:t>
      </w:r>
      <w:r w:rsidR="002237DF" w:rsidRPr="00D04B22">
        <w:rPr>
          <w:rFonts w:eastAsia="Verdana" w:cs="Verdana"/>
          <w:bCs/>
          <w:sz w:val="24"/>
          <w:szCs w:val="24"/>
        </w:rPr>
        <w:t>kao što su depresija</w:t>
      </w:r>
      <w:r w:rsidR="003366CF" w:rsidRPr="00D04B22">
        <w:rPr>
          <w:rFonts w:eastAsia="Verdana" w:cs="Verdana"/>
          <w:bCs/>
          <w:sz w:val="24"/>
          <w:szCs w:val="24"/>
        </w:rPr>
        <w:t>, emocionalni i poremećaji ponašanja</w:t>
      </w:r>
      <w:r w:rsidR="00601D39" w:rsidRPr="00D04B22">
        <w:rPr>
          <w:rFonts w:eastAsia="Verdana" w:cs="Verdana"/>
          <w:bCs/>
          <w:sz w:val="24"/>
          <w:szCs w:val="24"/>
        </w:rPr>
        <w:t xml:space="preserve">, neshvatanje važnosti zdravlja za kvalitetu života, </w:t>
      </w:r>
      <w:r w:rsidR="004A30FB" w:rsidRPr="00D04B22">
        <w:rPr>
          <w:rFonts w:eastAsia="Verdana" w:cs="Verdana"/>
          <w:bCs/>
          <w:sz w:val="24"/>
          <w:szCs w:val="24"/>
        </w:rPr>
        <w:t>nisko samopouzdanje</w:t>
      </w:r>
      <w:r w:rsidR="00076738" w:rsidRPr="00D04B22">
        <w:rPr>
          <w:rFonts w:eastAsia="Verdana" w:cs="Verdana"/>
          <w:bCs/>
          <w:sz w:val="24"/>
          <w:szCs w:val="24"/>
        </w:rPr>
        <w:t xml:space="preserve">. </w:t>
      </w:r>
      <w:r w:rsidR="003F2132" w:rsidRPr="00D04B22">
        <w:rPr>
          <w:rFonts w:eastAsia="Verdana" w:cs="Verdana"/>
          <w:bCs/>
          <w:sz w:val="24"/>
          <w:szCs w:val="24"/>
        </w:rPr>
        <w:t xml:space="preserve">Također, zbog prisutne </w:t>
      </w:r>
      <w:r w:rsidR="007E2D67" w:rsidRPr="00D04B22">
        <w:rPr>
          <w:rFonts w:eastAsia="Verdana" w:cs="Verdana"/>
          <w:bCs/>
          <w:sz w:val="24"/>
          <w:szCs w:val="24"/>
        </w:rPr>
        <w:t xml:space="preserve">stigme o </w:t>
      </w:r>
      <w:r w:rsidR="00A3072F" w:rsidRPr="00D04B22">
        <w:rPr>
          <w:rFonts w:eastAsia="Verdana" w:cs="Verdana"/>
          <w:bCs/>
          <w:sz w:val="24"/>
          <w:szCs w:val="24"/>
        </w:rPr>
        <w:t>debljini</w:t>
      </w:r>
      <w:r w:rsidR="007E2D67" w:rsidRPr="00D04B22">
        <w:rPr>
          <w:rFonts w:eastAsia="Verdana" w:cs="Verdana"/>
          <w:bCs/>
          <w:sz w:val="24"/>
          <w:szCs w:val="24"/>
        </w:rPr>
        <w:t xml:space="preserve">, </w:t>
      </w:r>
      <w:r w:rsidR="0025236F" w:rsidRPr="00D04B22">
        <w:rPr>
          <w:rFonts w:eastAsia="Verdana" w:cs="Verdana"/>
          <w:bCs/>
          <w:sz w:val="24"/>
          <w:szCs w:val="24"/>
        </w:rPr>
        <w:t xml:space="preserve">djeca, ali i odrasli, sa prekomjernom tjelesnom masom </w:t>
      </w:r>
      <w:r w:rsidR="00693086" w:rsidRPr="00D04B22">
        <w:rPr>
          <w:rFonts w:eastAsia="Verdana" w:cs="Verdana"/>
          <w:bCs/>
          <w:sz w:val="24"/>
          <w:szCs w:val="24"/>
        </w:rPr>
        <w:t xml:space="preserve">imaju veću vjerovatnoću da </w:t>
      </w:r>
      <w:r w:rsidR="003A173E" w:rsidRPr="00D04B22">
        <w:rPr>
          <w:rFonts w:eastAsia="Verdana" w:cs="Verdana"/>
          <w:bCs/>
          <w:sz w:val="24"/>
          <w:szCs w:val="24"/>
        </w:rPr>
        <w:t xml:space="preserve">dožive </w:t>
      </w:r>
      <w:r w:rsidR="00844A82" w:rsidRPr="00D04B22">
        <w:rPr>
          <w:rFonts w:eastAsia="Verdana" w:cs="Verdana"/>
          <w:bCs/>
          <w:sz w:val="24"/>
          <w:szCs w:val="24"/>
        </w:rPr>
        <w:t>zadirkivanje</w:t>
      </w:r>
      <w:r w:rsidR="003A173E" w:rsidRPr="00D04B22">
        <w:rPr>
          <w:rFonts w:eastAsia="Verdana" w:cs="Verdana"/>
          <w:bCs/>
          <w:sz w:val="24"/>
          <w:szCs w:val="24"/>
        </w:rPr>
        <w:t xml:space="preserve"> i zlostavljanje. </w:t>
      </w:r>
    </w:p>
    <w:p w14:paraId="17BFD4A9" w14:textId="15ADCD74" w:rsidR="00BC7904" w:rsidRPr="00D04B22" w:rsidRDefault="00BC7904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</w:p>
    <w:p w14:paraId="05847FC0" w14:textId="547229D5" w:rsidR="003A373A" w:rsidRPr="00D04B22" w:rsidRDefault="00544A74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t>D</w:t>
      </w:r>
      <w:r w:rsidR="00331C6B" w:rsidRPr="00D04B22">
        <w:rPr>
          <w:rFonts w:eastAsia="Verdana" w:cs="Verdana"/>
          <w:bCs/>
          <w:sz w:val="24"/>
          <w:szCs w:val="24"/>
        </w:rPr>
        <w:t>okazano je i da</w:t>
      </w:r>
      <w:r w:rsidRPr="00D04B22">
        <w:rPr>
          <w:rFonts w:eastAsia="Verdana" w:cs="Verdana"/>
          <w:bCs/>
          <w:sz w:val="24"/>
          <w:szCs w:val="24"/>
        </w:rPr>
        <w:t xml:space="preserve"> ishrana ima uticaj i na </w:t>
      </w:r>
      <w:r w:rsidR="00710D75" w:rsidRPr="00D04B22">
        <w:rPr>
          <w:rFonts w:eastAsia="Verdana" w:cs="Verdana"/>
          <w:bCs/>
          <w:sz w:val="24"/>
          <w:szCs w:val="24"/>
        </w:rPr>
        <w:t>učenje i ponašanje</w:t>
      </w:r>
      <w:r w:rsidR="00DD32F6" w:rsidRPr="00D04B22">
        <w:rPr>
          <w:rFonts w:eastAsia="Verdana" w:cs="Verdana"/>
          <w:bCs/>
          <w:sz w:val="24"/>
          <w:szCs w:val="24"/>
        </w:rPr>
        <w:t xml:space="preserve">. Tako na primjer </w:t>
      </w:r>
      <w:r w:rsidR="007E5F81" w:rsidRPr="00D04B22">
        <w:rPr>
          <w:rFonts w:eastAsia="Verdana" w:cs="Verdana"/>
          <w:bCs/>
          <w:sz w:val="24"/>
          <w:szCs w:val="24"/>
        </w:rPr>
        <w:t>za koncentraciju</w:t>
      </w:r>
      <w:r w:rsidR="00183C0B" w:rsidRPr="00D04B22">
        <w:rPr>
          <w:rFonts w:eastAsia="Verdana" w:cs="Verdana"/>
          <w:bCs/>
          <w:sz w:val="24"/>
          <w:szCs w:val="24"/>
        </w:rPr>
        <w:t>, pamćenje</w:t>
      </w:r>
      <w:r w:rsidR="00746AC2" w:rsidRPr="00D04B22">
        <w:rPr>
          <w:rFonts w:eastAsia="Verdana" w:cs="Verdana"/>
          <w:bCs/>
          <w:sz w:val="24"/>
          <w:szCs w:val="24"/>
        </w:rPr>
        <w:t xml:space="preserve">, učenje i </w:t>
      </w:r>
      <w:r w:rsidR="00183C0B" w:rsidRPr="00D04B22">
        <w:rPr>
          <w:rFonts w:eastAsia="Verdana" w:cs="Verdana"/>
          <w:bCs/>
          <w:sz w:val="24"/>
          <w:szCs w:val="24"/>
        </w:rPr>
        <w:t>reguliranje emocija potrebni su proteini</w:t>
      </w:r>
      <w:r w:rsidR="00832CB5" w:rsidRPr="00D04B22">
        <w:rPr>
          <w:rFonts w:eastAsia="Verdana" w:cs="Verdana"/>
          <w:bCs/>
          <w:sz w:val="24"/>
          <w:szCs w:val="24"/>
        </w:rPr>
        <w:t>, nezasićene masne kiseline, složeni ugljikohidrati</w:t>
      </w:r>
      <w:r w:rsidR="00746AC2" w:rsidRPr="00D04B22">
        <w:rPr>
          <w:rFonts w:eastAsia="Verdana" w:cs="Verdana"/>
          <w:bCs/>
          <w:sz w:val="24"/>
          <w:szCs w:val="24"/>
        </w:rPr>
        <w:t>, vitamini, minerali...</w:t>
      </w:r>
      <w:r w:rsidR="00C75DEC" w:rsidRPr="00D04B22">
        <w:rPr>
          <w:rFonts w:eastAsia="Verdana" w:cs="Verdana"/>
          <w:bCs/>
          <w:sz w:val="24"/>
          <w:szCs w:val="24"/>
        </w:rPr>
        <w:t xml:space="preserve"> </w:t>
      </w:r>
    </w:p>
    <w:p w14:paraId="3ABBB54F" w14:textId="0AA0B072" w:rsidR="00D9287F" w:rsidRPr="00D04B22" w:rsidRDefault="00D9287F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</w:p>
    <w:p w14:paraId="1F2BEEBC" w14:textId="566A660C" w:rsidR="00167574" w:rsidRPr="00D04B22" w:rsidRDefault="00F724CC" w:rsidP="001469CA">
      <w:pPr>
        <w:spacing w:after="0"/>
        <w:contextualSpacing/>
        <w:rPr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t>I</w:t>
      </w:r>
      <w:r w:rsidR="003647DE" w:rsidRPr="00D04B22">
        <w:rPr>
          <w:rFonts w:eastAsia="Verdana" w:cs="Verdana"/>
          <w:bCs/>
          <w:sz w:val="24"/>
          <w:szCs w:val="24"/>
        </w:rPr>
        <w:t>straživanj</w:t>
      </w:r>
      <w:r w:rsidRPr="00D04B22">
        <w:rPr>
          <w:rFonts w:eastAsia="Verdana" w:cs="Verdana"/>
          <w:bCs/>
          <w:sz w:val="24"/>
          <w:szCs w:val="24"/>
        </w:rPr>
        <w:t>e</w:t>
      </w:r>
      <w:r w:rsidR="00685EB4" w:rsidRPr="00D04B22">
        <w:rPr>
          <w:rStyle w:val="Referencafusnote"/>
          <w:rFonts w:eastAsia="Verdana" w:cs="Verdana"/>
          <w:bCs/>
          <w:sz w:val="24"/>
          <w:szCs w:val="24"/>
        </w:rPr>
        <w:footnoteReference w:id="1"/>
      </w:r>
      <w:r w:rsidR="00413B63" w:rsidRPr="00D04B22">
        <w:rPr>
          <w:rFonts w:eastAsia="Verdana" w:cs="Verdana"/>
          <w:bCs/>
          <w:sz w:val="24"/>
          <w:szCs w:val="24"/>
        </w:rPr>
        <w:t xml:space="preserve"> u osnovnim školama Kantona Sarajevo </w:t>
      </w:r>
      <w:r w:rsidRPr="00D04B22">
        <w:rPr>
          <w:rFonts w:eastAsia="Verdana" w:cs="Verdana"/>
          <w:bCs/>
          <w:sz w:val="24"/>
          <w:szCs w:val="24"/>
        </w:rPr>
        <w:t xml:space="preserve">je pokazalo da </w:t>
      </w:r>
      <w:r w:rsidR="00C46906" w:rsidRPr="00D04B22">
        <w:rPr>
          <w:rFonts w:eastAsia="Verdana" w:cs="Verdana"/>
          <w:bCs/>
          <w:sz w:val="24"/>
          <w:szCs w:val="24"/>
        </w:rPr>
        <w:t>djeca u školama jedu</w:t>
      </w:r>
      <w:r w:rsidR="00F17D2B" w:rsidRPr="00D04B22">
        <w:rPr>
          <w:rFonts w:eastAsia="Verdana" w:cs="Verdana"/>
          <w:bCs/>
          <w:sz w:val="24"/>
          <w:szCs w:val="24"/>
        </w:rPr>
        <w:t xml:space="preserve"> sendviče od kuće ili iz škole, hranu iz pekare ili grickalice.</w:t>
      </w:r>
      <w:r w:rsidR="005220EB" w:rsidRPr="00D04B22">
        <w:rPr>
          <w:rFonts w:eastAsia="Verdana" w:cs="Verdana"/>
          <w:bCs/>
          <w:sz w:val="24"/>
          <w:szCs w:val="24"/>
        </w:rPr>
        <w:t xml:space="preserve"> </w:t>
      </w:r>
      <w:r w:rsidR="00167574" w:rsidRPr="00D04B22">
        <w:rPr>
          <w:sz w:val="24"/>
          <w:szCs w:val="24"/>
        </w:rPr>
        <w:lastRenderedPageBreak/>
        <w:t xml:space="preserve">Takva hrana ima visoku energetsku vrijednost, obiluje šećerom i mastima. </w:t>
      </w:r>
      <w:r w:rsidR="00057962" w:rsidRPr="00D04B22">
        <w:rPr>
          <w:sz w:val="24"/>
          <w:szCs w:val="24"/>
        </w:rPr>
        <w:t xml:space="preserve">Problem je što djeca ustvari nemaju mogućnost kupiti ikakvu drugu hranu </w:t>
      </w:r>
      <w:r w:rsidR="002308A5" w:rsidRPr="00D04B22">
        <w:rPr>
          <w:sz w:val="24"/>
          <w:szCs w:val="24"/>
        </w:rPr>
        <w:t xml:space="preserve">u školi </w:t>
      </w:r>
      <w:r w:rsidR="00057962" w:rsidRPr="00D04B22">
        <w:rPr>
          <w:sz w:val="24"/>
          <w:szCs w:val="24"/>
        </w:rPr>
        <w:t xml:space="preserve">osim </w:t>
      </w:r>
      <w:r w:rsidR="002308A5" w:rsidRPr="00D04B22">
        <w:rPr>
          <w:sz w:val="24"/>
          <w:szCs w:val="24"/>
        </w:rPr>
        <w:t xml:space="preserve">peciva i slatkiša. </w:t>
      </w:r>
      <w:r w:rsidR="008C26C8" w:rsidRPr="00D04B22">
        <w:rPr>
          <w:sz w:val="24"/>
          <w:szCs w:val="24"/>
        </w:rPr>
        <w:t xml:space="preserve">Škole koje učenicima daju kuhane obroke, voće i povrće su u </w:t>
      </w:r>
      <w:r w:rsidR="008D75F7" w:rsidRPr="00D04B22">
        <w:rPr>
          <w:sz w:val="24"/>
          <w:szCs w:val="24"/>
        </w:rPr>
        <w:t>veoma malom broju.</w:t>
      </w:r>
      <w:r w:rsidR="002550EB" w:rsidRPr="00D04B22">
        <w:rPr>
          <w:sz w:val="24"/>
          <w:szCs w:val="24"/>
        </w:rPr>
        <w:t xml:space="preserve"> </w:t>
      </w:r>
    </w:p>
    <w:p w14:paraId="47BDAEC0" w14:textId="6E3A904D" w:rsidR="00E42A6D" w:rsidRPr="00D04B22" w:rsidRDefault="00E42A6D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</w:p>
    <w:p w14:paraId="6A8D3E2D" w14:textId="77777777" w:rsidR="00640EC6" w:rsidRPr="00D04B22" w:rsidRDefault="00E42A6D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t>Nutritivno vrijednija hrana je često skuplja od rafinirane, pa zbog socioekonomske situacije dio stanovništva nije u mogućnosti da si priušti izbor.</w:t>
      </w:r>
    </w:p>
    <w:p w14:paraId="5CCEEC37" w14:textId="28053349" w:rsidR="00E42A6D" w:rsidRPr="00D04B22" w:rsidRDefault="00E42A6D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t>Na konzumaciju nezdrave hrane u velikoj mjeri utiču i okolina i društvo. Mnogo češće se prikazuju reklame za slatkiše i grickalice</w:t>
      </w:r>
      <w:r w:rsidR="0075396F" w:rsidRPr="00D04B22">
        <w:rPr>
          <w:rFonts w:eastAsia="Verdana" w:cs="Verdana"/>
          <w:bCs/>
          <w:sz w:val="24"/>
          <w:szCs w:val="24"/>
        </w:rPr>
        <w:t>. Na primjer, istraživanje</w:t>
      </w:r>
      <w:r w:rsidR="0075396F" w:rsidRPr="00D04B22">
        <w:rPr>
          <w:rStyle w:val="Referencafusnote"/>
          <w:rFonts w:eastAsia="Verdana" w:cs="Verdana"/>
          <w:bCs/>
          <w:sz w:val="24"/>
          <w:szCs w:val="24"/>
        </w:rPr>
        <w:footnoteReference w:id="2"/>
      </w:r>
      <w:r w:rsidR="0075396F" w:rsidRPr="00D04B22">
        <w:rPr>
          <w:rFonts w:eastAsia="Verdana" w:cs="Verdana"/>
          <w:bCs/>
          <w:sz w:val="24"/>
          <w:szCs w:val="24"/>
        </w:rPr>
        <w:t xml:space="preserve"> u Australiji koje je pratilo reklame za hranu je pokazalo da se 99% odnosilo na 'junk food', pri čemu nije bilo nikakvih kontrastnih poruka o zdravoj prehrani. Pored reklama, promoviranju nezdravih izbora doprinose i atraktivna pakovanja</w:t>
      </w:r>
      <w:r w:rsidR="00ED112E" w:rsidRPr="00D04B22">
        <w:rPr>
          <w:rFonts w:eastAsia="Verdana" w:cs="Verdana"/>
          <w:bCs/>
          <w:sz w:val="24"/>
          <w:szCs w:val="24"/>
        </w:rPr>
        <w:t>, oblik i boja hrane, angažman poznatih osoba.</w:t>
      </w:r>
      <w:r w:rsidR="0075396F" w:rsidRPr="00D04B22">
        <w:rPr>
          <w:rFonts w:eastAsia="Verdana" w:cs="Verdana"/>
          <w:bCs/>
          <w:sz w:val="24"/>
          <w:szCs w:val="24"/>
        </w:rPr>
        <w:t xml:space="preserve"> </w:t>
      </w:r>
    </w:p>
    <w:p w14:paraId="4C26961B" w14:textId="7F59722E" w:rsidR="00ED112E" w:rsidRPr="00D04B22" w:rsidRDefault="00ED112E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</w:p>
    <w:p w14:paraId="352DDCE6" w14:textId="5350F6AD" w:rsidR="00066CA8" w:rsidRPr="00D04B22" w:rsidRDefault="00ED112E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t xml:space="preserve">Prehrambene navike se u obiteljima prenose generacijama, pa tako određena jela izazivaju emotivnu reakciju jer ih se povezuje sa članovima obitelji ili određenim događajima. Nerijetko su ta jela veoma visoke energetske vrijednosti, naročito </w:t>
      </w:r>
      <w:r w:rsidR="00B0346E" w:rsidRPr="00D04B22">
        <w:rPr>
          <w:rFonts w:eastAsia="Verdana" w:cs="Verdana"/>
          <w:bCs/>
          <w:sz w:val="24"/>
          <w:szCs w:val="24"/>
        </w:rPr>
        <w:t xml:space="preserve">kod nas, </w:t>
      </w:r>
      <w:r w:rsidRPr="00D04B22">
        <w:rPr>
          <w:rFonts w:eastAsia="Verdana" w:cs="Verdana"/>
          <w:bCs/>
          <w:sz w:val="24"/>
          <w:szCs w:val="24"/>
        </w:rPr>
        <w:t>jer je u Bosni i Hercegovini tradicionalna kuhinja uglavnom bazirana na ugljikohidratima i nezdravim zasićenim mastima</w:t>
      </w:r>
      <w:r w:rsidR="007E0737" w:rsidRPr="00D04B22">
        <w:rPr>
          <w:rFonts w:eastAsia="Verdana" w:cs="Verdana"/>
          <w:bCs/>
          <w:sz w:val="24"/>
          <w:szCs w:val="24"/>
        </w:rPr>
        <w:t xml:space="preserve"> životinjskog porijekla</w:t>
      </w:r>
      <w:r w:rsidRPr="00D04B22">
        <w:rPr>
          <w:rFonts w:eastAsia="Verdana" w:cs="Verdana"/>
          <w:bCs/>
          <w:sz w:val="24"/>
          <w:szCs w:val="24"/>
        </w:rPr>
        <w:t>.</w:t>
      </w:r>
    </w:p>
    <w:p w14:paraId="068792DF" w14:textId="1A1A3A8C" w:rsidR="00ED112E" w:rsidRPr="00D04B22" w:rsidRDefault="00ED112E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</w:p>
    <w:p w14:paraId="7B44D5E9" w14:textId="47972933" w:rsidR="00ED112E" w:rsidRPr="00D04B22" w:rsidRDefault="00ED112E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t>Na slici 1</w:t>
      </w:r>
      <w:r w:rsidR="00640EC6" w:rsidRPr="00D04B22">
        <w:rPr>
          <w:rFonts w:eastAsia="Verdana" w:cs="Verdana"/>
          <w:bCs/>
          <w:sz w:val="24"/>
          <w:szCs w:val="24"/>
        </w:rPr>
        <w:t>.</w:t>
      </w:r>
      <w:r w:rsidRPr="00D04B22">
        <w:rPr>
          <w:rFonts w:eastAsia="Verdana" w:cs="Verdana"/>
          <w:bCs/>
          <w:sz w:val="24"/>
          <w:szCs w:val="24"/>
        </w:rPr>
        <w:t xml:space="preserve"> je prikazano stablo problema loše prehrane. </w:t>
      </w:r>
    </w:p>
    <w:p w14:paraId="2F0CBC97" w14:textId="16ABBFCE" w:rsidR="00167574" w:rsidRPr="00D04B22" w:rsidRDefault="00167574" w:rsidP="001469CA">
      <w:pPr>
        <w:contextualSpacing/>
        <w:rPr>
          <w:sz w:val="24"/>
          <w:szCs w:val="24"/>
        </w:rPr>
      </w:pPr>
    </w:p>
    <w:p w14:paraId="35A70C28" w14:textId="648A29CE" w:rsidR="00ED112E" w:rsidRPr="00D04B22" w:rsidRDefault="00ED112E" w:rsidP="001469CA">
      <w:pPr>
        <w:contextualSpacing/>
        <w:rPr>
          <w:sz w:val="24"/>
          <w:szCs w:val="24"/>
        </w:rPr>
      </w:pPr>
    </w:p>
    <w:p w14:paraId="2372A46C" w14:textId="001A7BE2" w:rsidR="00ED112E" w:rsidRPr="00D04B22" w:rsidRDefault="00ED112E" w:rsidP="001469CA">
      <w:pPr>
        <w:contextualSpacing/>
        <w:rPr>
          <w:sz w:val="24"/>
          <w:szCs w:val="24"/>
        </w:rPr>
      </w:pPr>
    </w:p>
    <w:p w14:paraId="4DBA69C8" w14:textId="03790CDB" w:rsidR="00ED112E" w:rsidRDefault="00ED112E" w:rsidP="001469CA">
      <w:pPr>
        <w:contextualSpacing/>
      </w:pPr>
    </w:p>
    <w:p w14:paraId="3FFFC845" w14:textId="77777777" w:rsidR="008C1776" w:rsidRDefault="008C1776" w:rsidP="001469CA">
      <w:pPr>
        <w:keepNext/>
        <w:contextualSpacing/>
      </w:pPr>
      <w:r>
        <w:rPr>
          <w:noProof/>
        </w:rPr>
        <w:lastRenderedPageBreak/>
        <w:drawing>
          <wp:inline distT="0" distB="0" distL="0" distR="0" wp14:anchorId="0D6EB58B" wp14:editId="5DED0C2F">
            <wp:extent cx="5820248" cy="66770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tCauseAnalysi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77" cy="66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C517" w14:textId="27621FD4" w:rsidR="008C1776" w:rsidRDefault="008C1776" w:rsidP="001469CA">
      <w:pPr>
        <w:pStyle w:val="Opisslike"/>
        <w:spacing w:line="360" w:lineRule="auto"/>
        <w:contextualSpacing/>
        <w:jc w:val="center"/>
        <w:rPr>
          <w:sz w:val="22"/>
          <w:szCs w:val="22"/>
        </w:rPr>
      </w:pPr>
      <w:bookmarkStart w:id="3" w:name="_Toc28803004"/>
      <w:r w:rsidRPr="00C84A2D">
        <w:rPr>
          <w:sz w:val="22"/>
          <w:szCs w:val="22"/>
        </w:rPr>
        <w:t xml:space="preserve">Slika </w:t>
      </w:r>
      <w:r w:rsidRPr="00C84A2D">
        <w:rPr>
          <w:sz w:val="22"/>
          <w:szCs w:val="22"/>
        </w:rPr>
        <w:fldChar w:fldCharType="begin"/>
      </w:r>
      <w:r w:rsidRPr="00C84A2D">
        <w:rPr>
          <w:sz w:val="22"/>
          <w:szCs w:val="22"/>
        </w:rPr>
        <w:instrText xml:space="preserve"> SEQ Slika \* ARABIC </w:instrText>
      </w:r>
      <w:r w:rsidRPr="00C84A2D">
        <w:rPr>
          <w:sz w:val="22"/>
          <w:szCs w:val="22"/>
        </w:rPr>
        <w:fldChar w:fldCharType="separate"/>
      </w:r>
      <w:r w:rsidR="002C500A">
        <w:rPr>
          <w:noProof/>
          <w:sz w:val="22"/>
          <w:szCs w:val="22"/>
        </w:rPr>
        <w:t>1</w:t>
      </w:r>
      <w:r w:rsidRPr="00C84A2D">
        <w:rPr>
          <w:sz w:val="22"/>
          <w:szCs w:val="22"/>
        </w:rPr>
        <w:fldChar w:fldCharType="end"/>
      </w:r>
      <w:r w:rsidRPr="00C84A2D">
        <w:rPr>
          <w:sz w:val="22"/>
          <w:szCs w:val="22"/>
        </w:rPr>
        <w:t>. Stablo analize problema</w:t>
      </w:r>
      <w:bookmarkEnd w:id="3"/>
    </w:p>
    <w:p w14:paraId="2EC1A012" w14:textId="4F48602F" w:rsidR="00FE0120" w:rsidRDefault="00FE0120" w:rsidP="001469CA">
      <w:pPr>
        <w:contextualSpacing/>
      </w:pPr>
    </w:p>
    <w:p w14:paraId="269EC956" w14:textId="349EAF0D" w:rsidR="00FE0120" w:rsidRDefault="00FE0120" w:rsidP="001469CA">
      <w:pPr>
        <w:contextualSpacing/>
      </w:pPr>
    </w:p>
    <w:p w14:paraId="46AE5226" w14:textId="28926023" w:rsidR="00FE0120" w:rsidRDefault="00FE0120" w:rsidP="001469CA">
      <w:pPr>
        <w:contextualSpacing/>
      </w:pPr>
    </w:p>
    <w:p w14:paraId="127EDA83" w14:textId="339402BF" w:rsidR="00FE0120" w:rsidRDefault="00FE0120" w:rsidP="001469CA">
      <w:pPr>
        <w:contextualSpacing/>
      </w:pPr>
    </w:p>
    <w:p w14:paraId="14ACAC37" w14:textId="77777777" w:rsidR="00FE0120" w:rsidRDefault="00FE0120" w:rsidP="001469CA">
      <w:pPr>
        <w:contextualSpacing/>
      </w:pPr>
    </w:p>
    <w:p w14:paraId="23671A65" w14:textId="0D14761A" w:rsidR="001469CA" w:rsidRPr="00640EC6" w:rsidRDefault="00FE0120" w:rsidP="00D04B22">
      <w:pPr>
        <w:pStyle w:val="Naslov1"/>
      </w:pPr>
      <w:bookmarkStart w:id="4" w:name="_Toc29369431"/>
      <w:r w:rsidRPr="00FE0120">
        <w:lastRenderedPageBreak/>
        <w:t>3. Analiza cilja</w:t>
      </w:r>
      <w:bookmarkEnd w:id="4"/>
    </w:p>
    <w:p w14:paraId="216CBFA3" w14:textId="607BF46A" w:rsidR="00066CA8" w:rsidRPr="00D04B22" w:rsidRDefault="00882C0B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t xml:space="preserve">Svjetska zdravstvena organizacija kao mehanizme sprječavanja debljine, gojaznosti i povezanih oboljenja ističe: ograničavanje unosa energije iz masti i šećera, povećanje unosa povrća, voća, žitarica, mahunarki i orašastih plodova, redovna fizička aktivnost. </w:t>
      </w:r>
    </w:p>
    <w:p w14:paraId="0E5C73D5" w14:textId="77777777" w:rsidR="001A3511" w:rsidRPr="00D04B22" w:rsidRDefault="001A3511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</w:p>
    <w:p w14:paraId="68C7E141" w14:textId="77777777" w:rsidR="001A3511" w:rsidRPr="00D04B22" w:rsidRDefault="00FF6223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t>Promjene u zakonu mogu u najvećoj mjeri uticati na poboljšanje prehrane cjelokupnog stanovništa</w:t>
      </w:r>
      <w:r w:rsidR="001A3511" w:rsidRPr="00D04B22">
        <w:rPr>
          <w:rFonts w:eastAsia="Verdana" w:cs="Verdana"/>
          <w:bCs/>
          <w:sz w:val="24"/>
          <w:szCs w:val="24"/>
        </w:rPr>
        <w:t>, kao na primjer p</w:t>
      </w:r>
      <w:r w:rsidRPr="00D04B22">
        <w:rPr>
          <w:rFonts w:eastAsia="Verdana" w:cs="Verdana"/>
          <w:bCs/>
          <w:sz w:val="24"/>
          <w:szCs w:val="24"/>
        </w:rPr>
        <w:t>orezna reforma kojom bi se smanjio porez na voće i povrće, svježe meso, mlijeko i jaja, žitarice i druge osnovne neprerađene namirnice</w:t>
      </w:r>
      <w:r w:rsidR="001A3511" w:rsidRPr="00D04B22">
        <w:rPr>
          <w:rFonts w:eastAsia="Verdana" w:cs="Verdana"/>
          <w:bCs/>
          <w:sz w:val="24"/>
          <w:szCs w:val="24"/>
        </w:rPr>
        <w:t xml:space="preserve">, a kojom bi se s druge strane povećao porez na šećer i visokoprocesiranu hranu. </w:t>
      </w:r>
    </w:p>
    <w:p w14:paraId="03E8FF60" w14:textId="77777777" w:rsidR="001A3511" w:rsidRPr="00D04B22" w:rsidRDefault="001A3511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</w:p>
    <w:p w14:paraId="682BB9B6" w14:textId="3295E7A1" w:rsidR="001A3511" w:rsidRPr="00D04B22" w:rsidRDefault="001A3511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t xml:space="preserve">Premda u Kantonu Sarajevo već postoji Pravilnik o ishrani učenika u osnovnim i srednjim školama, isti se ne sprovodi u zadovoljavajućoj mjeri. Revidiranjem pravilnika i osiguravanjem sprovođenja direktno se može promijeniti hrana koja se nudi djeci u školi. Zakon još treba i osigurati ravnotežu između reklamiranja zdravih i nezdravih proizvoda u svim medijima. </w:t>
      </w:r>
    </w:p>
    <w:p w14:paraId="3BE3D478" w14:textId="2E5AD64A" w:rsidR="00534FFF" w:rsidRPr="00D04B22" w:rsidRDefault="00534FFF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</w:p>
    <w:p w14:paraId="6DDB8E6D" w14:textId="2101FEF2" w:rsidR="00534FFF" w:rsidRPr="00D04B22" w:rsidRDefault="00534FFF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t>Kao jedan od osnovnih uzroka loše prehrane ističe se i loša informiranost i nepoznavanje namirnica i potreba. Održavanjem radionica i predavanja u osnovnim školama učenicima će se pružiti potrebna znanja i vještine za vođenje zdravog i uravnoteženog života. Učenicima će se, na način prilagođen uzrastu, objasniti zašto su određene namirnice nutritivno vrijednije od drugih i kako mogu doprinijeti njihovom zdravlju.</w:t>
      </w:r>
    </w:p>
    <w:p w14:paraId="649E5511" w14:textId="29324E22" w:rsidR="00534FFF" w:rsidRPr="00D04B22" w:rsidRDefault="00534FFF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</w:p>
    <w:p w14:paraId="09EC49D8" w14:textId="0C34EF22" w:rsidR="00534FFF" w:rsidRPr="00D04B22" w:rsidRDefault="008D708D" w:rsidP="001469CA">
      <w:pPr>
        <w:spacing w:after="0"/>
        <w:contextualSpacing/>
        <w:rPr>
          <w:rFonts w:eastAsia="Verdana" w:cs="Verdana"/>
          <w:bCs/>
          <w:sz w:val="24"/>
          <w:szCs w:val="24"/>
        </w:rPr>
      </w:pPr>
      <w:r w:rsidRPr="00D04B22">
        <w:rPr>
          <w:rFonts w:eastAsia="Verdana" w:cs="Verdana"/>
          <w:bCs/>
          <w:sz w:val="24"/>
          <w:szCs w:val="24"/>
        </w:rPr>
        <w:t>Na slici 2</w:t>
      </w:r>
      <w:r w:rsidR="00640EC6" w:rsidRPr="00D04B22">
        <w:rPr>
          <w:rFonts w:eastAsia="Verdana" w:cs="Verdana"/>
          <w:bCs/>
          <w:sz w:val="24"/>
          <w:szCs w:val="24"/>
        </w:rPr>
        <w:t>.</w:t>
      </w:r>
      <w:r w:rsidRPr="00D04B22">
        <w:rPr>
          <w:rFonts w:eastAsia="Verdana" w:cs="Verdana"/>
          <w:bCs/>
          <w:sz w:val="24"/>
          <w:szCs w:val="24"/>
        </w:rPr>
        <w:t xml:space="preserve"> je prikazano stablo rješenja problema loše prehrane</w:t>
      </w:r>
      <w:r w:rsidR="00B5785C" w:rsidRPr="00D04B22">
        <w:rPr>
          <w:rFonts w:eastAsia="Verdana" w:cs="Verdana"/>
          <w:bCs/>
          <w:sz w:val="24"/>
          <w:szCs w:val="24"/>
        </w:rPr>
        <w:t>.</w:t>
      </w:r>
    </w:p>
    <w:p w14:paraId="1316AB9D" w14:textId="77777777" w:rsidR="00FF6223" w:rsidRDefault="00066CA8" w:rsidP="001469CA">
      <w:pPr>
        <w:keepNext/>
        <w:contextualSpacing/>
      </w:pPr>
      <w:r>
        <w:rPr>
          <w:noProof/>
        </w:rPr>
        <w:lastRenderedPageBreak/>
        <w:drawing>
          <wp:inline distT="0" distB="0" distL="0" distR="0" wp14:anchorId="0579FBBA" wp14:editId="246E8587">
            <wp:extent cx="5760720" cy="566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onAnalysi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7B49" w14:textId="235464A4" w:rsidR="00FF6223" w:rsidRPr="00FF6223" w:rsidRDefault="00FF6223" w:rsidP="001469CA">
      <w:pPr>
        <w:pStyle w:val="Opisslike"/>
        <w:spacing w:line="360" w:lineRule="auto"/>
        <w:contextualSpacing/>
        <w:jc w:val="center"/>
        <w:rPr>
          <w:sz w:val="22"/>
          <w:szCs w:val="22"/>
        </w:rPr>
      </w:pPr>
      <w:bookmarkStart w:id="5" w:name="_Toc28803005"/>
      <w:r w:rsidRPr="00FF6223">
        <w:rPr>
          <w:sz w:val="22"/>
          <w:szCs w:val="22"/>
        </w:rPr>
        <w:t xml:space="preserve">Slika </w:t>
      </w:r>
      <w:r w:rsidRPr="00FF6223">
        <w:rPr>
          <w:sz w:val="22"/>
          <w:szCs w:val="22"/>
        </w:rPr>
        <w:fldChar w:fldCharType="begin"/>
      </w:r>
      <w:r w:rsidRPr="00FF6223">
        <w:rPr>
          <w:sz w:val="22"/>
          <w:szCs w:val="22"/>
        </w:rPr>
        <w:instrText xml:space="preserve"> SEQ Slika \* ARABIC </w:instrText>
      </w:r>
      <w:r w:rsidRPr="00FF6223">
        <w:rPr>
          <w:sz w:val="22"/>
          <w:szCs w:val="22"/>
        </w:rPr>
        <w:fldChar w:fldCharType="separate"/>
      </w:r>
      <w:r w:rsidR="002C500A">
        <w:rPr>
          <w:noProof/>
          <w:sz w:val="22"/>
          <w:szCs w:val="22"/>
        </w:rPr>
        <w:t>2</w:t>
      </w:r>
      <w:r w:rsidRPr="00FF6223">
        <w:rPr>
          <w:sz w:val="22"/>
          <w:szCs w:val="22"/>
        </w:rPr>
        <w:fldChar w:fldCharType="end"/>
      </w:r>
      <w:r w:rsidRPr="00FF6223">
        <w:rPr>
          <w:sz w:val="22"/>
          <w:szCs w:val="22"/>
        </w:rPr>
        <w:t xml:space="preserve">. Stablo analize </w:t>
      </w:r>
      <w:r w:rsidR="00D04B22">
        <w:rPr>
          <w:sz w:val="22"/>
          <w:szCs w:val="22"/>
        </w:rPr>
        <w:t>cilja</w:t>
      </w:r>
      <w:bookmarkEnd w:id="5"/>
    </w:p>
    <w:p w14:paraId="680C5A6C" w14:textId="346785CC" w:rsidR="00167574" w:rsidRDefault="00167574" w:rsidP="001469CA">
      <w:pPr>
        <w:pStyle w:val="Opisslike"/>
        <w:spacing w:line="360" w:lineRule="auto"/>
        <w:contextualSpacing/>
      </w:pPr>
    </w:p>
    <w:p w14:paraId="3A899467" w14:textId="4B0F016B" w:rsidR="00167574" w:rsidRDefault="00167574" w:rsidP="001469CA">
      <w:pPr>
        <w:contextualSpacing/>
      </w:pPr>
    </w:p>
    <w:p w14:paraId="19B64316" w14:textId="003854F9" w:rsidR="00167574" w:rsidRDefault="00167574" w:rsidP="001469CA">
      <w:pPr>
        <w:contextualSpacing/>
      </w:pPr>
    </w:p>
    <w:p w14:paraId="0C208DDB" w14:textId="57EEC348" w:rsidR="00167574" w:rsidRDefault="00167574" w:rsidP="001469CA">
      <w:pPr>
        <w:contextualSpacing/>
      </w:pPr>
    </w:p>
    <w:p w14:paraId="7DC67643" w14:textId="41B3E672" w:rsidR="00167574" w:rsidRDefault="00167574" w:rsidP="001469CA">
      <w:pPr>
        <w:contextualSpacing/>
      </w:pPr>
    </w:p>
    <w:p w14:paraId="2D9C71DE" w14:textId="65C90BF1" w:rsidR="00167574" w:rsidRDefault="00167574" w:rsidP="001469CA">
      <w:pPr>
        <w:contextualSpacing/>
      </w:pPr>
    </w:p>
    <w:p w14:paraId="6CDC0287" w14:textId="5FA75976" w:rsidR="00167574" w:rsidRDefault="00167574" w:rsidP="001469CA">
      <w:pPr>
        <w:contextualSpacing/>
      </w:pPr>
    </w:p>
    <w:p w14:paraId="321FF5C2" w14:textId="0F23F0EA" w:rsidR="001469CA" w:rsidRDefault="001469CA" w:rsidP="001469CA">
      <w:pPr>
        <w:contextualSpacing/>
      </w:pPr>
    </w:p>
    <w:p w14:paraId="698626C5" w14:textId="77777777" w:rsidR="00E2410A" w:rsidRDefault="00E2410A" w:rsidP="001469CA">
      <w:pPr>
        <w:contextualSpacing/>
      </w:pPr>
    </w:p>
    <w:p w14:paraId="5E7C117E" w14:textId="7D0F5BDD" w:rsidR="0042119F" w:rsidRDefault="00E2410A" w:rsidP="00D04B22">
      <w:pPr>
        <w:pStyle w:val="Naslov1"/>
      </w:pPr>
      <w:bookmarkStart w:id="6" w:name="_Toc29369432"/>
      <w:r>
        <w:lastRenderedPageBreak/>
        <w:t>4. Ana</w:t>
      </w:r>
      <w:r w:rsidR="00485F92">
        <w:t>liza strategije</w:t>
      </w:r>
      <w:bookmarkEnd w:id="6"/>
    </w:p>
    <w:p w14:paraId="69B5D16A" w14:textId="77777777" w:rsidR="00B0346E" w:rsidRPr="00D04B22" w:rsidRDefault="0042119F" w:rsidP="0042119F">
      <w:pPr>
        <w:rPr>
          <w:sz w:val="24"/>
          <w:szCs w:val="24"/>
        </w:rPr>
      </w:pPr>
      <w:r w:rsidRPr="00D04B22">
        <w:rPr>
          <w:sz w:val="24"/>
          <w:szCs w:val="24"/>
        </w:rPr>
        <w:t>Projekat 'Zdrava hrana u školama' ima fokus</w:t>
      </w:r>
      <w:r w:rsidR="00B0346E" w:rsidRPr="00D04B22">
        <w:rPr>
          <w:sz w:val="24"/>
          <w:szCs w:val="24"/>
        </w:rPr>
        <w:t xml:space="preserve"> na poboljšanju prehrambenih navika osnovnoškolske djece. Konkretno, ciljevi ovog projekta jesu da djeca steknu bolje znanje o hrani i usvoje zdravije navike. </w:t>
      </w:r>
    </w:p>
    <w:p w14:paraId="65C081FE" w14:textId="1265BE70" w:rsidR="00B0346E" w:rsidRPr="00D04B22" w:rsidRDefault="00B0346E" w:rsidP="0042119F">
      <w:pPr>
        <w:rPr>
          <w:sz w:val="24"/>
          <w:szCs w:val="24"/>
        </w:rPr>
      </w:pPr>
      <w:r w:rsidRPr="00D04B22">
        <w:rPr>
          <w:sz w:val="24"/>
          <w:szCs w:val="24"/>
        </w:rPr>
        <w:t>Potrebna znanja će im se pružiti kroz radionice sa nastavnicima iz njihovih škola i edukatorima, i postavljanje informativnih plakata i brošura u školama. Materijale sa odabranim sadržajima prilagođenim uzrastu priredit će stručnjaci – nutricionisti i liječnici.</w:t>
      </w:r>
    </w:p>
    <w:p w14:paraId="64477D37" w14:textId="20165437" w:rsidR="00720F0D" w:rsidRPr="00D04B22" w:rsidRDefault="00720F0D" w:rsidP="0042119F">
      <w:pPr>
        <w:rPr>
          <w:sz w:val="24"/>
          <w:szCs w:val="24"/>
        </w:rPr>
      </w:pPr>
      <w:r w:rsidRPr="00D04B22">
        <w:rPr>
          <w:sz w:val="24"/>
          <w:szCs w:val="24"/>
        </w:rPr>
        <w:t>U svim školama počet će se prodavati zdravi obroci, na osnovu jelovnika koje će također osmisliti stručnjaci. Prilika za prodaju hrane u školama pružit će se tvrtkama koje mogu zadovoljiti uslove iz predloženih jelovnika, umjesto dosadašnjih pekarnica.</w:t>
      </w:r>
    </w:p>
    <w:p w14:paraId="13A97875" w14:textId="06A98C4A" w:rsidR="006A529D" w:rsidRPr="00D04B22" w:rsidRDefault="006A529D" w:rsidP="0042119F">
      <w:pPr>
        <w:rPr>
          <w:sz w:val="24"/>
          <w:szCs w:val="24"/>
        </w:rPr>
      </w:pPr>
      <w:r w:rsidRPr="00D04B22">
        <w:rPr>
          <w:sz w:val="24"/>
          <w:szCs w:val="24"/>
        </w:rPr>
        <w:t>Prethodno navedenim koracima, učenicima će se omogućiti razvoj u okruženju koje potiče dugoročne zdrave navike.</w:t>
      </w:r>
    </w:p>
    <w:p w14:paraId="02827C29" w14:textId="7DB7D7CE" w:rsidR="00720F0D" w:rsidRPr="00D04B22" w:rsidRDefault="00720F0D">
      <w:pPr>
        <w:spacing w:line="259" w:lineRule="auto"/>
        <w:jc w:val="left"/>
        <w:rPr>
          <w:rFonts w:eastAsiaTheme="majorEastAsia" w:cstheme="majorBidi"/>
          <w:b/>
          <w:color w:val="1F3864" w:themeColor="accent1" w:themeShade="80"/>
          <w:sz w:val="24"/>
          <w:szCs w:val="24"/>
        </w:rPr>
      </w:pPr>
      <w:r w:rsidRPr="00D04B22">
        <w:rPr>
          <w:sz w:val="24"/>
          <w:szCs w:val="24"/>
        </w:rPr>
        <w:br w:type="page"/>
      </w:r>
    </w:p>
    <w:p w14:paraId="375A2FFE" w14:textId="0D9E0716" w:rsidR="001469CA" w:rsidRPr="00640EC6" w:rsidRDefault="00E2410A" w:rsidP="00D04B22">
      <w:pPr>
        <w:pStyle w:val="Naslov1"/>
      </w:pPr>
      <w:bookmarkStart w:id="7" w:name="_Toc29369433"/>
      <w:r>
        <w:lastRenderedPageBreak/>
        <w:t>5</w:t>
      </w:r>
      <w:r w:rsidR="00E32350" w:rsidRPr="00640EC6">
        <w:t>. Logički okvir projekta</w:t>
      </w:r>
      <w:bookmarkEnd w:id="7"/>
    </w:p>
    <w:p w14:paraId="6FE352ED" w14:textId="77777777" w:rsidR="0064660C" w:rsidRPr="00B5785C" w:rsidRDefault="0064660C" w:rsidP="001469CA">
      <w:pPr>
        <w:contextualSpacing/>
      </w:pPr>
    </w:p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1110"/>
        <w:gridCol w:w="2494"/>
        <w:gridCol w:w="2061"/>
        <w:gridCol w:w="1747"/>
        <w:gridCol w:w="1650"/>
      </w:tblGrid>
      <w:tr w:rsidR="004A67DA" w14:paraId="003F560C" w14:textId="77777777" w:rsidTr="004A67DA">
        <w:trPr>
          <w:trHeight w:val="691"/>
        </w:trPr>
        <w:tc>
          <w:tcPr>
            <w:tcW w:w="3604" w:type="dxa"/>
            <w:gridSpan w:val="2"/>
            <w:shd w:val="clear" w:color="auto" w:fill="B4C6E7" w:themeFill="accent1" w:themeFillTint="66"/>
            <w:vAlign w:val="center"/>
          </w:tcPr>
          <w:p w14:paraId="76A266C4" w14:textId="7E513B3A" w:rsidR="00E2410A" w:rsidRPr="008E3459" w:rsidRDefault="00E2410A" w:rsidP="00E2410A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Opis projekta</w:t>
            </w:r>
          </w:p>
        </w:tc>
        <w:tc>
          <w:tcPr>
            <w:tcW w:w="2061" w:type="dxa"/>
            <w:shd w:val="clear" w:color="auto" w:fill="B4C6E7" w:themeFill="accent1" w:themeFillTint="66"/>
            <w:vAlign w:val="center"/>
          </w:tcPr>
          <w:p w14:paraId="4F4D68D6" w14:textId="4E0DF8D8" w:rsidR="00E2410A" w:rsidRPr="008E3459" w:rsidRDefault="00E2410A" w:rsidP="00E2410A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8E3459">
              <w:rPr>
                <w:sz w:val="18"/>
                <w:szCs w:val="18"/>
              </w:rPr>
              <w:t>Objektivno mjerljivi pokazatelji uspjeha</w:t>
            </w:r>
          </w:p>
        </w:tc>
        <w:tc>
          <w:tcPr>
            <w:tcW w:w="1747" w:type="dxa"/>
            <w:shd w:val="clear" w:color="auto" w:fill="B4C6E7" w:themeFill="accent1" w:themeFillTint="66"/>
            <w:vAlign w:val="center"/>
          </w:tcPr>
          <w:p w14:paraId="67BBA87D" w14:textId="78AF219C" w:rsidR="00E2410A" w:rsidRPr="008E3459" w:rsidRDefault="00E2410A" w:rsidP="00E2410A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8E3459">
              <w:rPr>
                <w:sz w:val="18"/>
                <w:szCs w:val="18"/>
              </w:rPr>
              <w:t>Izvori i sredstva verifikacije</w:t>
            </w:r>
          </w:p>
        </w:tc>
        <w:tc>
          <w:tcPr>
            <w:tcW w:w="1650" w:type="dxa"/>
            <w:shd w:val="clear" w:color="auto" w:fill="B4C6E7" w:themeFill="accent1" w:themeFillTint="66"/>
            <w:vAlign w:val="center"/>
          </w:tcPr>
          <w:p w14:paraId="253BBFF1" w14:textId="3E515A5C" w:rsidR="00E2410A" w:rsidRPr="008E3459" w:rsidRDefault="00E2410A" w:rsidP="00E2410A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8E3459">
              <w:rPr>
                <w:sz w:val="18"/>
                <w:szCs w:val="18"/>
              </w:rPr>
              <w:t>Pretpostavke  i rizici</w:t>
            </w:r>
          </w:p>
        </w:tc>
      </w:tr>
      <w:tr w:rsidR="004A67DA" w14:paraId="17AC59E3" w14:textId="6270ACB0" w:rsidTr="004A67DA">
        <w:trPr>
          <w:trHeight w:val="1282"/>
        </w:trPr>
        <w:tc>
          <w:tcPr>
            <w:tcW w:w="1110" w:type="dxa"/>
            <w:shd w:val="clear" w:color="auto" w:fill="FFD966" w:themeFill="accent4" w:themeFillTint="99"/>
            <w:vAlign w:val="center"/>
          </w:tcPr>
          <w:p w14:paraId="5F3142C4" w14:textId="71F0EA79" w:rsidR="00A704B1" w:rsidRPr="008E3459" w:rsidRDefault="00A704B1" w:rsidP="00A704B1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8E3459">
              <w:rPr>
                <w:sz w:val="18"/>
                <w:szCs w:val="18"/>
              </w:rPr>
              <w:t>Svrha projekta:</w:t>
            </w:r>
          </w:p>
        </w:tc>
        <w:tc>
          <w:tcPr>
            <w:tcW w:w="2494" w:type="dxa"/>
            <w:vAlign w:val="center"/>
          </w:tcPr>
          <w:p w14:paraId="7FDB35D0" w14:textId="6CED78A0" w:rsidR="00A704B1" w:rsidRPr="00504D6A" w:rsidRDefault="00A704B1" w:rsidP="00A704B1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504D6A">
              <w:rPr>
                <w:sz w:val="18"/>
                <w:szCs w:val="18"/>
              </w:rPr>
              <w:t>Poboljšanje prehrane i zdravlja učenika, porodica i zajednice; stvaranje dugoročnih zdravih navika</w:t>
            </w:r>
          </w:p>
        </w:tc>
        <w:tc>
          <w:tcPr>
            <w:tcW w:w="2061" w:type="dxa"/>
            <w:vAlign w:val="center"/>
          </w:tcPr>
          <w:p w14:paraId="41E98832" w14:textId="53065301" w:rsidR="00A704B1" w:rsidRPr="00504D6A" w:rsidRDefault="00C91970" w:rsidP="008E3459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Smanjena stopa gojaznosti, debljine i incidencije bolesti povezanih s istima za 20%</w:t>
            </w:r>
          </w:p>
        </w:tc>
        <w:tc>
          <w:tcPr>
            <w:tcW w:w="1747" w:type="dxa"/>
            <w:vAlign w:val="center"/>
          </w:tcPr>
          <w:p w14:paraId="78B8D4DF" w14:textId="6695C049" w:rsidR="00A704B1" w:rsidRPr="00504D6A" w:rsidRDefault="00C91970" w:rsidP="008E3459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Sistematski pregledi, Zavod za javno zdravstvo BiH</w:t>
            </w:r>
          </w:p>
        </w:tc>
        <w:tc>
          <w:tcPr>
            <w:tcW w:w="1650" w:type="dxa"/>
            <w:shd w:val="clear" w:color="auto" w:fill="E7E6E6" w:themeFill="background2"/>
            <w:vAlign w:val="center"/>
          </w:tcPr>
          <w:p w14:paraId="179DD699" w14:textId="77777777" w:rsidR="00A704B1" w:rsidRPr="00504D6A" w:rsidRDefault="00A704B1" w:rsidP="008E3459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4A67DA" w14:paraId="65D6035E" w14:textId="4DDB794C" w:rsidTr="004A67DA">
        <w:trPr>
          <w:trHeight w:val="1839"/>
        </w:trPr>
        <w:tc>
          <w:tcPr>
            <w:tcW w:w="1110" w:type="dxa"/>
            <w:shd w:val="clear" w:color="auto" w:fill="FFD966" w:themeFill="accent4" w:themeFillTint="99"/>
            <w:vAlign w:val="center"/>
          </w:tcPr>
          <w:p w14:paraId="57CA4C26" w14:textId="3E3E7679" w:rsidR="00A704B1" w:rsidRPr="008E3459" w:rsidRDefault="00A704B1" w:rsidP="00A704B1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8E3459">
              <w:rPr>
                <w:sz w:val="18"/>
                <w:szCs w:val="18"/>
              </w:rPr>
              <w:t>Cilj</w:t>
            </w:r>
          </w:p>
          <w:p w14:paraId="2B5445EE" w14:textId="5A5DB3DF" w:rsidR="00A704B1" w:rsidRPr="008E3459" w:rsidRDefault="00A704B1" w:rsidP="00A704B1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8E3459">
              <w:rPr>
                <w:sz w:val="18"/>
                <w:szCs w:val="18"/>
              </w:rPr>
              <w:t>projekta:</w:t>
            </w:r>
          </w:p>
        </w:tc>
        <w:tc>
          <w:tcPr>
            <w:tcW w:w="2494" w:type="dxa"/>
            <w:vAlign w:val="center"/>
          </w:tcPr>
          <w:p w14:paraId="5B0B9167" w14:textId="37E98544" w:rsidR="00A704B1" w:rsidRPr="00504D6A" w:rsidRDefault="00A704B1" w:rsidP="00BB4640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504D6A">
              <w:rPr>
                <w:sz w:val="18"/>
                <w:szCs w:val="18"/>
              </w:rPr>
              <w:t xml:space="preserve"> Postavljanje temelja dugoročnim zdravim navikama na način da se učenicima daju potrebna znanje i vještine za vođenje zdravog života</w:t>
            </w:r>
            <w:r w:rsidR="00BB4640">
              <w:rPr>
                <w:sz w:val="18"/>
                <w:szCs w:val="18"/>
              </w:rPr>
              <w:t xml:space="preserve"> i omoguće zdravi izbori</w:t>
            </w:r>
          </w:p>
        </w:tc>
        <w:tc>
          <w:tcPr>
            <w:tcW w:w="2061" w:type="dxa"/>
            <w:vAlign w:val="center"/>
          </w:tcPr>
          <w:p w14:paraId="06B10205" w14:textId="5D1B1FA7" w:rsidR="00A704B1" w:rsidRPr="00504D6A" w:rsidRDefault="00C91970" w:rsidP="00BB4640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504D6A">
              <w:rPr>
                <w:sz w:val="18"/>
                <w:szCs w:val="18"/>
              </w:rPr>
              <w:t xml:space="preserve">Smanjen procenat učenika koji u školi jedu nezdravu, brzu i rafiniranu hranu za </w:t>
            </w:r>
            <w:r>
              <w:rPr>
                <w:sz w:val="18"/>
                <w:szCs w:val="18"/>
              </w:rPr>
              <w:t>3</w:t>
            </w:r>
            <w:r w:rsidRPr="00504D6A">
              <w:rPr>
                <w:sz w:val="18"/>
                <w:szCs w:val="18"/>
              </w:rPr>
              <w:t>0%</w:t>
            </w:r>
          </w:p>
        </w:tc>
        <w:tc>
          <w:tcPr>
            <w:tcW w:w="1747" w:type="dxa"/>
            <w:vAlign w:val="center"/>
          </w:tcPr>
          <w:p w14:paraId="72EC2DB8" w14:textId="008E2336" w:rsidR="00A704B1" w:rsidRPr="00504D6A" w:rsidRDefault="00C91970" w:rsidP="00BB4640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504D6A">
              <w:rPr>
                <w:sz w:val="18"/>
                <w:szCs w:val="18"/>
              </w:rPr>
              <w:t>Studija o prehrambenim navikama učenika</w:t>
            </w:r>
          </w:p>
        </w:tc>
        <w:tc>
          <w:tcPr>
            <w:tcW w:w="1650" w:type="dxa"/>
            <w:vAlign w:val="center"/>
          </w:tcPr>
          <w:p w14:paraId="77C942EE" w14:textId="16E063F3" w:rsidR="00A704B1" w:rsidRPr="00BB4640" w:rsidRDefault="00BB4640" w:rsidP="00BB464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B4640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čenici dugoročno mijenjaju navike, kako u školi, tako i kod kuće </w:t>
            </w:r>
          </w:p>
        </w:tc>
      </w:tr>
      <w:tr w:rsidR="004A67DA" w14:paraId="21470FCC" w14:textId="2AE8BC46" w:rsidTr="004A67DA">
        <w:trPr>
          <w:trHeight w:val="1240"/>
        </w:trPr>
        <w:tc>
          <w:tcPr>
            <w:tcW w:w="1110" w:type="dxa"/>
            <w:vMerge w:val="restart"/>
            <w:shd w:val="clear" w:color="auto" w:fill="FFD966" w:themeFill="accent4" w:themeFillTint="99"/>
            <w:vAlign w:val="center"/>
          </w:tcPr>
          <w:p w14:paraId="7B4A2227" w14:textId="59EADAFF" w:rsidR="004A67DA" w:rsidRPr="008E3459" w:rsidRDefault="004A67DA" w:rsidP="0085775C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8E3459">
              <w:rPr>
                <w:sz w:val="18"/>
                <w:szCs w:val="18"/>
              </w:rPr>
              <w:t>Izlazi projekta:</w:t>
            </w:r>
          </w:p>
        </w:tc>
        <w:tc>
          <w:tcPr>
            <w:tcW w:w="2494" w:type="dxa"/>
            <w:vAlign w:val="center"/>
          </w:tcPr>
          <w:p w14:paraId="660D24BB" w14:textId="2A713FF8" w:rsidR="004A67DA" w:rsidRPr="00BA57E7" w:rsidRDefault="004A67DA" w:rsidP="004A67DA">
            <w:pPr>
              <w:spacing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 školama je moguće kupiti zdrave obroke</w:t>
            </w:r>
          </w:p>
        </w:tc>
        <w:tc>
          <w:tcPr>
            <w:tcW w:w="2061" w:type="dxa"/>
            <w:vAlign w:val="center"/>
          </w:tcPr>
          <w:p w14:paraId="235DE717" w14:textId="3E038492" w:rsidR="004A67DA" w:rsidRPr="00504D6A" w:rsidRDefault="004A67DA" w:rsidP="004A67DA">
            <w:pPr>
              <w:spacing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504D6A">
              <w:rPr>
                <w:color w:val="000000"/>
                <w:sz w:val="18"/>
                <w:szCs w:val="18"/>
              </w:rPr>
              <w:t>Od početka školske godine 2020./21. u svim školama se mogu kupiti zdravi obroci i užine</w:t>
            </w:r>
          </w:p>
        </w:tc>
        <w:tc>
          <w:tcPr>
            <w:tcW w:w="1747" w:type="dxa"/>
            <w:vAlign w:val="center"/>
          </w:tcPr>
          <w:p w14:paraId="322A2659" w14:textId="77777777" w:rsidR="004A67DA" w:rsidRPr="00504D6A" w:rsidRDefault="004A67DA" w:rsidP="004A67DA">
            <w:pP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504D6A">
              <w:rPr>
                <w:color w:val="000000"/>
                <w:sz w:val="18"/>
                <w:szCs w:val="18"/>
              </w:rPr>
              <w:t>Provjere u školama</w:t>
            </w:r>
          </w:p>
          <w:p w14:paraId="2861C59B" w14:textId="098BEB27" w:rsidR="004A67DA" w:rsidRPr="00504D6A" w:rsidRDefault="004A67DA" w:rsidP="004A67DA">
            <w:pP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50" w:type="dxa"/>
            <w:vMerge w:val="restart"/>
            <w:vAlign w:val="center"/>
          </w:tcPr>
          <w:p w14:paraId="07F49F88" w14:textId="43B094FB" w:rsidR="004A67DA" w:rsidRPr="00504D6A" w:rsidRDefault="004A67DA" w:rsidP="006A529D">
            <w:pPr>
              <w:spacing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504D6A">
              <w:rPr>
                <w:color w:val="000000"/>
                <w:sz w:val="18"/>
                <w:szCs w:val="18"/>
              </w:rPr>
              <w:t>Učenici će korisititi stečena znanja</w:t>
            </w:r>
          </w:p>
          <w:p w14:paraId="4E98D70F" w14:textId="2801B3E6" w:rsidR="004A67DA" w:rsidRDefault="004A67DA" w:rsidP="006A529D">
            <w:pPr>
              <w:spacing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  <w:p w14:paraId="645F56BE" w14:textId="77777777" w:rsidR="004A67DA" w:rsidRPr="00504D6A" w:rsidRDefault="004A67DA" w:rsidP="006A529D">
            <w:pPr>
              <w:spacing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  <w:p w14:paraId="3D8B8C6B" w14:textId="6AFD6F71" w:rsidR="004A67DA" w:rsidRPr="00C91970" w:rsidRDefault="004A67DA" w:rsidP="006A529D">
            <w:pPr>
              <w:spacing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504D6A">
              <w:rPr>
                <w:color w:val="000000"/>
                <w:sz w:val="18"/>
                <w:szCs w:val="18"/>
              </w:rPr>
              <w:t xml:space="preserve">Učenici će promijeniti prehrambene </w:t>
            </w:r>
            <w:r>
              <w:rPr>
                <w:color w:val="000000"/>
                <w:sz w:val="18"/>
                <w:szCs w:val="18"/>
              </w:rPr>
              <w:t>izbore u školi</w:t>
            </w:r>
          </w:p>
        </w:tc>
      </w:tr>
      <w:tr w:rsidR="004A67DA" w14:paraId="437431F4" w14:textId="77777777" w:rsidTr="004A67DA">
        <w:trPr>
          <w:trHeight w:val="1240"/>
        </w:trPr>
        <w:tc>
          <w:tcPr>
            <w:tcW w:w="1110" w:type="dxa"/>
            <w:vMerge/>
            <w:shd w:val="clear" w:color="auto" w:fill="FFD966" w:themeFill="accent4" w:themeFillTint="99"/>
            <w:vAlign w:val="center"/>
          </w:tcPr>
          <w:p w14:paraId="7C8907F0" w14:textId="77777777" w:rsidR="004A67DA" w:rsidRPr="008E3459" w:rsidRDefault="004A67DA" w:rsidP="0085775C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494" w:type="dxa"/>
            <w:vAlign w:val="center"/>
          </w:tcPr>
          <w:p w14:paraId="30027E32" w14:textId="770FE6D5" w:rsidR="004A67DA" w:rsidRDefault="004A67DA" w:rsidP="004A67DA">
            <w:pPr>
              <w:spacing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 školama su održane radionice</w:t>
            </w:r>
          </w:p>
        </w:tc>
        <w:tc>
          <w:tcPr>
            <w:tcW w:w="2061" w:type="dxa"/>
            <w:vAlign w:val="center"/>
          </w:tcPr>
          <w:p w14:paraId="279EDAEB" w14:textId="1E22977F" w:rsidR="004A67DA" w:rsidRPr="00504D6A" w:rsidRDefault="004A67DA" w:rsidP="004A67DA">
            <w:pPr>
              <w:spacing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504D6A">
              <w:rPr>
                <w:color w:val="000000"/>
                <w:sz w:val="18"/>
                <w:szCs w:val="18"/>
              </w:rPr>
              <w:t>Kroz period od 12 tjedana, u svim odjeljenjima je održana radionica</w:t>
            </w:r>
          </w:p>
        </w:tc>
        <w:tc>
          <w:tcPr>
            <w:tcW w:w="1747" w:type="dxa"/>
            <w:vAlign w:val="center"/>
          </w:tcPr>
          <w:p w14:paraId="088F6365" w14:textId="77777777" w:rsidR="004A67DA" w:rsidRPr="00504D6A" w:rsidRDefault="004A67DA" w:rsidP="004A67DA">
            <w:pP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504D6A">
              <w:rPr>
                <w:color w:val="000000"/>
                <w:sz w:val="18"/>
                <w:szCs w:val="18"/>
              </w:rPr>
              <w:t>Izvještaj o održavanju radionica</w:t>
            </w:r>
          </w:p>
          <w:p w14:paraId="7F487761" w14:textId="77777777" w:rsidR="004A67DA" w:rsidRPr="00504D6A" w:rsidRDefault="004A67DA" w:rsidP="004A67DA">
            <w:pP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50" w:type="dxa"/>
            <w:vMerge/>
            <w:vAlign w:val="center"/>
          </w:tcPr>
          <w:p w14:paraId="1A18C617" w14:textId="77777777" w:rsidR="004A67DA" w:rsidRPr="00504D6A" w:rsidRDefault="004A67DA" w:rsidP="006A529D">
            <w:pPr>
              <w:spacing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A67DA" w14:paraId="6284C623" w14:textId="77777777" w:rsidTr="004A67DA">
        <w:trPr>
          <w:trHeight w:val="1240"/>
        </w:trPr>
        <w:tc>
          <w:tcPr>
            <w:tcW w:w="1110" w:type="dxa"/>
            <w:vMerge/>
            <w:shd w:val="clear" w:color="auto" w:fill="FFD966" w:themeFill="accent4" w:themeFillTint="99"/>
            <w:vAlign w:val="center"/>
          </w:tcPr>
          <w:p w14:paraId="5BAD300F" w14:textId="77777777" w:rsidR="004A67DA" w:rsidRPr="008E3459" w:rsidRDefault="004A67DA" w:rsidP="0085775C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494" w:type="dxa"/>
            <w:vAlign w:val="center"/>
          </w:tcPr>
          <w:p w14:paraId="1E19A829" w14:textId="50AE873D" w:rsidR="004A67DA" w:rsidRDefault="004A67DA" w:rsidP="004A67DA">
            <w:pPr>
              <w:spacing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Postavljeni su informativni plakati</w:t>
            </w:r>
          </w:p>
        </w:tc>
        <w:tc>
          <w:tcPr>
            <w:tcW w:w="2061" w:type="dxa"/>
            <w:vAlign w:val="center"/>
          </w:tcPr>
          <w:p w14:paraId="2184CC4F" w14:textId="18006E11" w:rsidR="004A67DA" w:rsidRPr="00504D6A" w:rsidRDefault="004A67DA" w:rsidP="004A67DA">
            <w:pPr>
              <w:spacing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504D6A">
              <w:rPr>
                <w:color w:val="000000"/>
                <w:sz w:val="18"/>
                <w:szCs w:val="18"/>
              </w:rPr>
              <w:t>U svim školama su postavljeni informativni plakati u prvom tjednu nastave</w:t>
            </w:r>
          </w:p>
        </w:tc>
        <w:tc>
          <w:tcPr>
            <w:tcW w:w="1747" w:type="dxa"/>
            <w:vAlign w:val="center"/>
          </w:tcPr>
          <w:p w14:paraId="2BC564EE" w14:textId="226558E1" w:rsidR="004A67DA" w:rsidRPr="00504D6A" w:rsidRDefault="004A67DA" w:rsidP="004A67DA">
            <w:pP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504D6A">
              <w:rPr>
                <w:color w:val="000000"/>
                <w:sz w:val="18"/>
                <w:szCs w:val="18"/>
              </w:rPr>
              <w:t>Fizičke provjere u školama</w:t>
            </w:r>
          </w:p>
        </w:tc>
        <w:tc>
          <w:tcPr>
            <w:tcW w:w="1650" w:type="dxa"/>
            <w:vMerge/>
            <w:vAlign w:val="center"/>
          </w:tcPr>
          <w:p w14:paraId="4EBDCD96" w14:textId="77777777" w:rsidR="004A67DA" w:rsidRPr="00504D6A" w:rsidRDefault="004A67DA" w:rsidP="006A529D">
            <w:pPr>
              <w:spacing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A67DA" w14:paraId="70B1DA4D" w14:textId="2D96A72F" w:rsidTr="004A67DA">
        <w:trPr>
          <w:trHeight w:val="691"/>
        </w:trPr>
        <w:tc>
          <w:tcPr>
            <w:tcW w:w="1110" w:type="dxa"/>
            <w:vMerge w:val="restart"/>
            <w:shd w:val="clear" w:color="auto" w:fill="FFD966" w:themeFill="accent4" w:themeFillTint="99"/>
            <w:vAlign w:val="center"/>
          </w:tcPr>
          <w:p w14:paraId="3E35D43C" w14:textId="64FE8F5C" w:rsidR="00E078B7" w:rsidRPr="008E3459" w:rsidRDefault="00E078B7" w:rsidP="00E078B7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Aktivnosti</w:t>
            </w:r>
          </w:p>
        </w:tc>
        <w:tc>
          <w:tcPr>
            <w:tcW w:w="2494" w:type="dxa"/>
            <w:vMerge w:val="restart"/>
            <w:vAlign w:val="center"/>
          </w:tcPr>
          <w:p w14:paraId="6014095F" w14:textId="62F90528" w:rsidR="00E078B7" w:rsidRDefault="00E078B7" w:rsidP="00AE7258">
            <w:pPr>
              <w:keepNext/>
              <w:spacing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Kreiranje jelovnika</w:t>
            </w:r>
          </w:p>
          <w:p w14:paraId="3623D725" w14:textId="13B1C48E" w:rsidR="00E078B7" w:rsidRDefault="00E078B7" w:rsidP="00AE7258">
            <w:pPr>
              <w:keepNext/>
              <w:spacing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Kreiranje edukativnih materijala za radionice i plakate i letke</w:t>
            </w:r>
          </w:p>
          <w:p w14:paraId="6C818FA4" w14:textId="77777777" w:rsidR="00E078B7" w:rsidRDefault="00E078B7" w:rsidP="00AE7258">
            <w:pPr>
              <w:keepNext/>
              <w:spacing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Tiskanje plakata i letaka</w:t>
            </w:r>
          </w:p>
          <w:p w14:paraId="5767B4B0" w14:textId="77777777" w:rsidR="00E078B7" w:rsidRDefault="00E078B7" w:rsidP="00AE7258">
            <w:pPr>
              <w:keepNext/>
              <w:spacing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Priprema edukatora</w:t>
            </w:r>
          </w:p>
          <w:p w14:paraId="73542811" w14:textId="77777777" w:rsidR="00E078B7" w:rsidRDefault="00E078B7" w:rsidP="00AE7258">
            <w:pPr>
              <w:keepNext/>
              <w:spacing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Priprema nastavnika</w:t>
            </w:r>
          </w:p>
          <w:p w14:paraId="6D5E8076" w14:textId="77777777" w:rsidR="00E078B7" w:rsidRDefault="00E078B7" w:rsidP="00AE7258">
            <w:pPr>
              <w:keepNext/>
              <w:spacing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Sastanak sa dostavljačima jela</w:t>
            </w:r>
          </w:p>
          <w:p w14:paraId="6F30AE2D" w14:textId="77777777" w:rsidR="00E078B7" w:rsidRDefault="00E078B7" w:rsidP="00AE7258">
            <w:pPr>
              <w:keepNext/>
              <w:spacing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Distribucija materijala</w:t>
            </w:r>
          </w:p>
          <w:p w14:paraId="321BD472" w14:textId="0F470E24" w:rsidR="00E078B7" w:rsidRPr="008E3459" w:rsidRDefault="00E078B7" w:rsidP="00AE7258">
            <w:pPr>
              <w:keepNext/>
              <w:spacing w:line="240" w:lineRule="auto"/>
              <w:contextualSpacing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Realizacija radionica</w:t>
            </w:r>
          </w:p>
        </w:tc>
        <w:tc>
          <w:tcPr>
            <w:tcW w:w="2061" w:type="dxa"/>
            <w:shd w:val="clear" w:color="auto" w:fill="FFD966" w:themeFill="accent4" w:themeFillTint="99"/>
            <w:vAlign w:val="center"/>
          </w:tcPr>
          <w:p w14:paraId="63F242C9" w14:textId="3824E3AF" w:rsidR="00E078B7" w:rsidRPr="008E3459" w:rsidRDefault="00E078B7" w:rsidP="008E3459">
            <w:pPr>
              <w:keepNext/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Ulazi</w:t>
            </w:r>
          </w:p>
        </w:tc>
        <w:tc>
          <w:tcPr>
            <w:tcW w:w="1747" w:type="dxa"/>
            <w:shd w:val="clear" w:color="auto" w:fill="FFD966" w:themeFill="accent4" w:themeFillTint="99"/>
            <w:vAlign w:val="center"/>
          </w:tcPr>
          <w:p w14:paraId="2E4C6C25" w14:textId="47E3DE51" w:rsidR="00E078B7" w:rsidRPr="008E3459" w:rsidRDefault="00F96195" w:rsidP="008E3459">
            <w:pPr>
              <w:keepNext/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Troškovi</w:t>
            </w:r>
          </w:p>
        </w:tc>
        <w:tc>
          <w:tcPr>
            <w:tcW w:w="1650" w:type="dxa"/>
            <w:vMerge w:val="restart"/>
            <w:vAlign w:val="center"/>
          </w:tcPr>
          <w:p w14:paraId="39F29587" w14:textId="50C1C791" w:rsidR="00E078B7" w:rsidRDefault="00C657CD" w:rsidP="006A529D">
            <w:pPr>
              <w:keepNext/>
              <w:spacing w:line="240" w:lineRule="auto"/>
              <w:jc w:val="center"/>
              <w:rPr>
                <w:sz w:val="18"/>
                <w:szCs w:val="18"/>
              </w:rPr>
            </w:pPr>
            <w:r w:rsidRPr="00C91970">
              <w:rPr>
                <w:sz w:val="18"/>
                <w:szCs w:val="18"/>
              </w:rPr>
              <w:t>Dostupni adekvatni ljudski resursi</w:t>
            </w:r>
          </w:p>
          <w:p w14:paraId="24AA2AD9" w14:textId="77777777" w:rsidR="00C91970" w:rsidRPr="00C91970" w:rsidRDefault="00C91970" w:rsidP="006A529D">
            <w:pPr>
              <w:keepNext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38D2460D" w14:textId="0BE92369" w:rsidR="00C657CD" w:rsidRDefault="00C657CD" w:rsidP="006A529D">
            <w:pPr>
              <w:keepNext/>
              <w:spacing w:line="240" w:lineRule="auto"/>
              <w:jc w:val="center"/>
              <w:rPr>
                <w:sz w:val="18"/>
                <w:szCs w:val="18"/>
              </w:rPr>
            </w:pPr>
            <w:r w:rsidRPr="00C91970">
              <w:rPr>
                <w:sz w:val="18"/>
                <w:szCs w:val="18"/>
              </w:rPr>
              <w:t>Osoblje škola je kooperativno</w:t>
            </w:r>
          </w:p>
          <w:p w14:paraId="758F0B09" w14:textId="77777777" w:rsidR="00C91970" w:rsidRPr="00C91970" w:rsidRDefault="00C91970" w:rsidP="006A529D">
            <w:pPr>
              <w:keepNext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07988667" w14:textId="4312D0B8" w:rsidR="00C657CD" w:rsidRPr="00C91970" w:rsidRDefault="00C657CD" w:rsidP="006A529D">
            <w:pPr>
              <w:keepNext/>
              <w:spacing w:line="240" w:lineRule="auto"/>
              <w:jc w:val="center"/>
              <w:rPr>
                <w:sz w:val="18"/>
                <w:szCs w:val="18"/>
              </w:rPr>
            </w:pPr>
            <w:r w:rsidRPr="00C91970">
              <w:rPr>
                <w:sz w:val="18"/>
                <w:szCs w:val="18"/>
              </w:rPr>
              <w:t>Postoje odgovarajući dostavljači hrane</w:t>
            </w:r>
          </w:p>
        </w:tc>
      </w:tr>
      <w:tr w:rsidR="004A67DA" w14:paraId="7038184F" w14:textId="77777777" w:rsidTr="004A67DA">
        <w:trPr>
          <w:trHeight w:val="1312"/>
        </w:trPr>
        <w:tc>
          <w:tcPr>
            <w:tcW w:w="1110" w:type="dxa"/>
            <w:vMerge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8356152" w14:textId="77777777" w:rsidR="00E078B7" w:rsidRDefault="00E078B7" w:rsidP="00A704B1">
            <w:pPr>
              <w:spacing w:line="240" w:lineRule="auto"/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2494" w:type="dxa"/>
            <w:vMerge/>
            <w:tcBorders>
              <w:bottom w:val="single" w:sz="4" w:space="0" w:color="auto"/>
            </w:tcBorders>
            <w:vAlign w:val="center"/>
          </w:tcPr>
          <w:p w14:paraId="52E34714" w14:textId="77777777" w:rsidR="00E078B7" w:rsidRDefault="00E078B7" w:rsidP="00AE7258">
            <w:pPr>
              <w:keepNext/>
              <w:spacing w:line="240" w:lineRule="auto"/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2061" w:type="dxa"/>
            <w:tcBorders>
              <w:bottom w:val="single" w:sz="4" w:space="0" w:color="auto"/>
            </w:tcBorders>
            <w:vAlign w:val="center"/>
          </w:tcPr>
          <w:p w14:paraId="2043DFED" w14:textId="77777777" w:rsidR="00BB4640" w:rsidRDefault="00BB4640" w:rsidP="00BB4640">
            <w:pPr>
              <w:keepNext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5F4889D" w14:textId="77777777" w:rsidR="00BB4640" w:rsidRDefault="00BB4640" w:rsidP="00BB4640">
            <w:pPr>
              <w:keepNext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30DA68CB" w14:textId="66F23BFF" w:rsidR="00F96195" w:rsidRDefault="00E2410A" w:rsidP="00BB4640">
            <w:pPr>
              <w:keepNext/>
              <w:spacing w:line="240" w:lineRule="auto"/>
              <w:jc w:val="center"/>
              <w:rPr>
                <w:sz w:val="18"/>
                <w:szCs w:val="18"/>
              </w:rPr>
            </w:pPr>
            <w:r w:rsidRPr="00E2410A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N</w:t>
            </w:r>
            <w:r w:rsidRPr="00E2410A">
              <w:rPr>
                <w:sz w:val="18"/>
                <w:szCs w:val="18"/>
              </w:rPr>
              <w:t>ovčana sredstva</w:t>
            </w:r>
          </w:p>
          <w:p w14:paraId="2A3CC338" w14:textId="258DBAD8" w:rsidR="00E2410A" w:rsidRPr="00E2410A" w:rsidRDefault="00E2410A" w:rsidP="00BB4640">
            <w:pPr>
              <w:keepNext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Ljudski resursi</w:t>
            </w:r>
          </w:p>
          <w:p w14:paraId="22C85B44" w14:textId="77777777" w:rsidR="00E2410A" w:rsidRDefault="00E2410A" w:rsidP="00BB4640">
            <w:pPr>
              <w:keepNext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42A9E42" w14:textId="6F9B38AE" w:rsidR="00E2410A" w:rsidRPr="00E2410A" w:rsidRDefault="00E2410A" w:rsidP="00BB4640">
            <w:pPr>
              <w:keepNext/>
              <w:spacing w:line="240" w:lineRule="auto"/>
              <w:ind w:left="720"/>
              <w:jc w:val="center"/>
              <w:rPr>
                <w:sz w:val="18"/>
                <w:szCs w:val="18"/>
              </w:rPr>
            </w:pPr>
          </w:p>
        </w:tc>
        <w:tc>
          <w:tcPr>
            <w:tcW w:w="1747" w:type="dxa"/>
            <w:tcBorders>
              <w:bottom w:val="single" w:sz="4" w:space="0" w:color="auto"/>
            </w:tcBorders>
            <w:vAlign w:val="center"/>
          </w:tcPr>
          <w:p w14:paraId="22063B92" w14:textId="6DEC5F81" w:rsidR="00E078B7" w:rsidRPr="008E3459" w:rsidRDefault="000B090E" w:rsidP="00BB4640">
            <w:pPr>
              <w:keepNext/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9D5F04">
              <w:rPr>
                <w:sz w:val="18"/>
                <w:szCs w:val="18"/>
              </w:rPr>
              <w:t>172</w:t>
            </w:r>
            <w:r>
              <w:rPr>
                <w:sz w:val="18"/>
                <w:szCs w:val="18"/>
              </w:rPr>
              <w:t>,000 KM</w:t>
            </w:r>
          </w:p>
        </w:tc>
        <w:tc>
          <w:tcPr>
            <w:tcW w:w="1650" w:type="dxa"/>
            <w:vMerge/>
            <w:tcBorders>
              <w:bottom w:val="single" w:sz="4" w:space="0" w:color="auto"/>
            </w:tcBorders>
            <w:vAlign w:val="center"/>
          </w:tcPr>
          <w:p w14:paraId="64281199" w14:textId="77777777" w:rsidR="00E078B7" w:rsidRPr="009F112C" w:rsidRDefault="00E078B7" w:rsidP="009F112C">
            <w:pPr>
              <w:keepNext/>
              <w:spacing w:line="240" w:lineRule="auto"/>
              <w:rPr>
                <w:sz w:val="20"/>
                <w:szCs w:val="20"/>
              </w:rPr>
            </w:pPr>
          </w:p>
        </w:tc>
      </w:tr>
      <w:tr w:rsidR="00BA57E7" w14:paraId="730F3FD1" w14:textId="77777777" w:rsidTr="004A67DA">
        <w:trPr>
          <w:trHeight w:val="140"/>
        </w:trPr>
        <w:tc>
          <w:tcPr>
            <w:tcW w:w="9062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D21C1A8" w14:textId="77777777" w:rsidR="00BA57E7" w:rsidRDefault="00BA57E7" w:rsidP="00A30C55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30C55" w14:paraId="54536CE5" w14:textId="77777777" w:rsidTr="004A67DA">
        <w:trPr>
          <w:trHeight w:val="653"/>
        </w:trPr>
        <w:tc>
          <w:tcPr>
            <w:tcW w:w="1110" w:type="dxa"/>
            <w:vMerge w:val="restart"/>
            <w:shd w:val="clear" w:color="auto" w:fill="FFD966" w:themeFill="accent4" w:themeFillTint="99"/>
            <w:vAlign w:val="center"/>
          </w:tcPr>
          <w:p w14:paraId="06BCC26B" w14:textId="23A3634E" w:rsidR="00A30C55" w:rsidRDefault="00A30C55" w:rsidP="00A30C55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</w:t>
            </w:r>
          </w:p>
        </w:tc>
        <w:tc>
          <w:tcPr>
            <w:tcW w:w="6302" w:type="dxa"/>
            <w:gridSpan w:val="3"/>
            <w:vMerge w:val="restart"/>
            <w:vAlign w:val="center"/>
          </w:tcPr>
          <w:p w14:paraId="1CA87BAB" w14:textId="5D419534" w:rsidR="00A30C55" w:rsidRDefault="00A30C55" w:rsidP="00BB4640">
            <w:pPr>
              <w:keepNext/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A30C55">
              <w:rPr>
                <w:sz w:val="18"/>
                <w:szCs w:val="18"/>
              </w:rPr>
              <w:t xml:space="preserve">U većini osnovnih škola učenici imaju priliku kupiti samo </w:t>
            </w:r>
            <w:r>
              <w:rPr>
                <w:sz w:val="18"/>
                <w:szCs w:val="18"/>
              </w:rPr>
              <w:t>neadekvatnu hranu koja</w:t>
            </w:r>
            <w:r w:rsidRPr="00A30C55">
              <w:rPr>
                <w:sz w:val="18"/>
                <w:szCs w:val="18"/>
              </w:rPr>
              <w:t xml:space="preserve"> ima visoku energetsku vrijednost, obiluje šećerom i mastima. Dugoročna konzumacija takve hrane vodi ka ugrožava</w:t>
            </w:r>
            <w:r>
              <w:rPr>
                <w:sz w:val="18"/>
                <w:szCs w:val="18"/>
              </w:rPr>
              <w:t>nju psihofizičkog zdravlja</w:t>
            </w:r>
            <w:r w:rsidRPr="00A30C5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 ozbiljnih posljedica u odrasloj dobi</w:t>
            </w:r>
          </w:p>
        </w:tc>
        <w:tc>
          <w:tcPr>
            <w:tcW w:w="1650" w:type="dxa"/>
            <w:shd w:val="clear" w:color="auto" w:fill="FFD966" w:themeFill="accent4" w:themeFillTint="99"/>
            <w:vAlign w:val="center"/>
          </w:tcPr>
          <w:p w14:paraId="069D1C4D" w14:textId="48DB7EDC" w:rsidR="00A30C55" w:rsidRPr="009F112C" w:rsidRDefault="00A30C55" w:rsidP="00A30C55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Ciljna skupina</w:t>
            </w:r>
          </w:p>
        </w:tc>
      </w:tr>
      <w:tr w:rsidR="00A30C55" w14:paraId="005C97F1" w14:textId="77777777" w:rsidTr="004A67DA">
        <w:trPr>
          <w:trHeight w:val="652"/>
        </w:trPr>
        <w:tc>
          <w:tcPr>
            <w:tcW w:w="1110" w:type="dxa"/>
            <w:vMerge/>
            <w:shd w:val="clear" w:color="auto" w:fill="FFD966" w:themeFill="accent4" w:themeFillTint="99"/>
            <w:vAlign w:val="center"/>
          </w:tcPr>
          <w:p w14:paraId="37594D99" w14:textId="77777777" w:rsidR="00A30C55" w:rsidRDefault="00A30C55" w:rsidP="00A30C55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6302" w:type="dxa"/>
            <w:gridSpan w:val="3"/>
            <w:vMerge/>
            <w:vAlign w:val="center"/>
          </w:tcPr>
          <w:p w14:paraId="7802A631" w14:textId="77777777" w:rsidR="00A30C55" w:rsidRPr="00A30C55" w:rsidRDefault="00A30C55" w:rsidP="00BB4640">
            <w:pPr>
              <w:keepNext/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650" w:type="dxa"/>
            <w:vAlign w:val="center"/>
          </w:tcPr>
          <w:p w14:paraId="18AEAE2C" w14:textId="7ED759BD" w:rsidR="00A30C55" w:rsidRPr="009F112C" w:rsidRDefault="00A30C55" w:rsidP="00A30C55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Osnovnoškolci</w:t>
            </w:r>
          </w:p>
        </w:tc>
      </w:tr>
    </w:tbl>
    <w:p w14:paraId="260F7709" w14:textId="77777777" w:rsidR="00BB4640" w:rsidRDefault="00BB4640" w:rsidP="00F96195">
      <w:pPr>
        <w:pStyle w:val="Opisslike"/>
        <w:spacing w:line="360" w:lineRule="auto"/>
        <w:contextualSpacing/>
        <w:jc w:val="center"/>
        <w:rPr>
          <w:sz w:val="22"/>
          <w:szCs w:val="22"/>
        </w:rPr>
      </w:pPr>
    </w:p>
    <w:p w14:paraId="679D1589" w14:textId="6AF221AB" w:rsidR="001676C5" w:rsidRPr="00A30C55" w:rsidRDefault="008D708D" w:rsidP="00A30C55">
      <w:pPr>
        <w:pStyle w:val="Opisslike"/>
        <w:spacing w:line="360" w:lineRule="auto"/>
        <w:contextualSpacing/>
        <w:jc w:val="center"/>
        <w:rPr>
          <w:sz w:val="22"/>
          <w:szCs w:val="22"/>
        </w:rPr>
      </w:pPr>
      <w:bookmarkStart w:id="8" w:name="_Toc29369452"/>
      <w:r w:rsidRPr="008D708D">
        <w:rPr>
          <w:sz w:val="22"/>
          <w:szCs w:val="22"/>
        </w:rPr>
        <w:t xml:space="preserve">Tabela </w:t>
      </w:r>
      <w:r w:rsidR="00B225DB">
        <w:rPr>
          <w:sz w:val="22"/>
          <w:szCs w:val="22"/>
        </w:rPr>
        <w:fldChar w:fldCharType="begin"/>
      </w:r>
      <w:r w:rsidR="00B225DB">
        <w:rPr>
          <w:sz w:val="22"/>
          <w:szCs w:val="22"/>
        </w:rPr>
        <w:instrText xml:space="preserve"> SEQ Tabela \* ARABIC </w:instrText>
      </w:r>
      <w:r w:rsidR="00B225DB">
        <w:rPr>
          <w:sz w:val="22"/>
          <w:szCs w:val="22"/>
        </w:rPr>
        <w:fldChar w:fldCharType="separate"/>
      </w:r>
      <w:r w:rsidR="00B225DB">
        <w:rPr>
          <w:noProof/>
          <w:sz w:val="22"/>
          <w:szCs w:val="22"/>
        </w:rPr>
        <w:t>1</w:t>
      </w:r>
      <w:r w:rsidR="00B225DB">
        <w:rPr>
          <w:sz w:val="22"/>
          <w:szCs w:val="22"/>
        </w:rPr>
        <w:fldChar w:fldCharType="end"/>
      </w:r>
      <w:r>
        <w:rPr>
          <w:sz w:val="22"/>
          <w:szCs w:val="22"/>
        </w:rPr>
        <w:t>. Logički ok</w:t>
      </w:r>
      <w:r w:rsidR="001469CA">
        <w:rPr>
          <w:sz w:val="22"/>
          <w:szCs w:val="22"/>
        </w:rPr>
        <w:t>v</w:t>
      </w:r>
      <w:r>
        <w:rPr>
          <w:sz w:val="22"/>
          <w:szCs w:val="22"/>
        </w:rPr>
        <w:t>ir projekt</w:t>
      </w:r>
      <w:r w:rsidR="00CC53A9">
        <w:rPr>
          <w:sz w:val="22"/>
          <w:szCs w:val="22"/>
        </w:rPr>
        <w:t>a</w:t>
      </w:r>
      <w:bookmarkEnd w:id="8"/>
    </w:p>
    <w:p w14:paraId="72D864EC" w14:textId="1022A949" w:rsidR="009D5F04" w:rsidRDefault="001469CA" w:rsidP="00D04B22">
      <w:pPr>
        <w:pStyle w:val="Naslov1"/>
        <w:rPr>
          <w:rFonts w:eastAsia="Verdana"/>
        </w:rPr>
      </w:pPr>
      <w:bookmarkStart w:id="9" w:name="_Toc29369434"/>
      <w:r>
        <w:rPr>
          <w:rFonts w:eastAsia="Verdana"/>
        </w:rPr>
        <w:lastRenderedPageBreak/>
        <w:t>5. Upravljanje projektom</w:t>
      </w:r>
      <w:bookmarkEnd w:id="9"/>
    </w:p>
    <w:p w14:paraId="1CC503C1" w14:textId="77777777" w:rsidR="00D04B22" w:rsidRPr="00D04B22" w:rsidRDefault="00D04B22" w:rsidP="00D04B22"/>
    <w:p w14:paraId="312BCE74" w14:textId="55458CBF" w:rsidR="009D5F04" w:rsidRPr="00D04B22" w:rsidRDefault="009D5F04" w:rsidP="00D04B22">
      <w:pPr>
        <w:pStyle w:val="Naslov2"/>
      </w:pPr>
      <w:bookmarkStart w:id="10" w:name="_Toc29369435"/>
      <w:r w:rsidRPr="00D04B22">
        <w:t>5.1. Tehnički aspekti projekta</w:t>
      </w:r>
      <w:bookmarkEnd w:id="10"/>
    </w:p>
    <w:p w14:paraId="708F6686" w14:textId="46F6A2DA" w:rsidR="00A105A0" w:rsidRPr="00D04B22" w:rsidRDefault="0031708F" w:rsidP="00A05072">
      <w:pPr>
        <w:rPr>
          <w:sz w:val="24"/>
          <w:szCs w:val="24"/>
        </w:rPr>
      </w:pPr>
      <w:r w:rsidRPr="00D04B22">
        <w:rPr>
          <w:sz w:val="24"/>
          <w:szCs w:val="24"/>
        </w:rPr>
        <w:t xml:space="preserve">Vođenje projekta i sastanci projektnog tima će se održavati u zgradi Ministarstva </w:t>
      </w:r>
      <w:r w:rsidR="00BD0A13" w:rsidRPr="00D04B22">
        <w:rPr>
          <w:sz w:val="24"/>
          <w:szCs w:val="24"/>
        </w:rPr>
        <w:t xml:space="preserve">zdravstva Kantona Sarajevo, kao i sastanci stručnog tima. </w:t>
      </w:r>
      <w:r w:rsidR="00A105A0" w:rsidRPr="00D04B22">
        <w:rPr>
          <w:sz w:val="24"/>
          <w:szCs w:val="24"/>
        </w:rPr>
        <w:t xml:space="preserve">Za potrebe održavanja radionica sa nastavnicima bit će organiziran poseban prostor. </w:t>
      </w:r>
    </w:p>
    <w:p w14:paraId="7ED26793" w14:textId="68CBB1A9" w:rsidR="00CA12C8" w:rsidRPr="00D04B22" w:rsidRDefault="00CA12C8" w:rsidP="00A05072">
      <w:pPr>
        <w:rPr>
          <w:sz w:val="24"/>
          <w:szCs w:val="24"/>
        </w:rPr>
      </w:pPr>
      <w:r w:rsidRPr="00D04B22">
        <w:rPr>
          <w:sz w:val="24"/>
          <w:szCs w:val="24"/>
        </w:rPr>
        <w:t>U fazi realizacije projekta, za projektni tim će biti potrebno unajmiti automobile.</w:t>
      </w:r>
    </w:p>
    <w:p w14:paraId="1F70D70C" w14:textId="77777777" w:rsidR="00CA12C8" w:rsidRDefault="00CA12C8" w:rsidP="00A05072"/>
    <w:p w14:paraId="733B4FEA" w14:textId="03CA657D" w:rsidR="00EC6D90" w:rsidRDefault="00FE2D71" w:rsidP="00EC6D90">
      <w:pPr>
        <w:keepNext/>
        <w:jc w:val="center"/>
      </w:pPr>
      <w:r w:rsidRPr="00FE2D71">
        <w:rPr>
          <w:noProof/>
        </w:rPr>
        <w:drawing>
          <wp:inline distT="0" distB="0" distL="0" distR="0" wp14:anchorId="03D52A46" wp14:editId="71A556FF">
            <wp:extent cx="3136119" cy="871268"/>
            <wp:effectExtent l="0" t="0" r="762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7" t="-1" r="63312" b="-8"/>
                    <a:stretch/>
                  </pic:blipFill>
                  <pic:spPr bwMode="auto">
                    <a:xfrm>
                      <a:off x="0" y="0"/>
                      <a:ext cx="3146953" cy="87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DEFDB" w14:textId="60612B44" w:rsidR="00A105A0" w:rsidRDefault="00A105A0" w:rsidP="00A105A0">
      <w:pPr>
        <w:pStyle w:val="Opisslike"/>
        <w:jc w:val="center"/>
      </w:pPr>
      <w:bookmarkStart w:id="11" w:name="_Toc29369453"/>
      <w:r>
        <w:t xml:space="preserve">Tabela </w:t>
      </w:r>
      <w:r w:rsidR="00B225DB">
        <w:fldChar w:fldCharType="begin"/>
      </w:r>
      <w:r w:rsidR="00B225DB">
        <w:instrText xml:space="preserve"> SEQ Tabela \* ARABIC </w:instrText>
      </w:r>
      <w:r w:rsidR="00B225DB">
        <w:fldChar w:fldCharType="separate"/>
      </w:r>
      <w:r w:rsidR="00B225DB">
        <w:rPr>
          <w:noProof/>
        </w:rPr>
        <w:t>2</w:t>
      </w:r>
      <w:r w:rsidR="00B225DB">
        <w:fldChar w:fldCharType="end"/>
      </w:r>
      <w:r>
        <w:t xml:space="preserve">. </w:t>
      </w:r>
      <w:r w:rsidRPr="00DA3233">
        <w:t>Tehnički aspekti projekta</w:t>
      </w:r>
      <w:bookmarkEnd w:id="11"/>
    </w:p>
    <w:p w14:paraId="5A10E31B" w14:textId="774521F8" w:rsidR="00075046" w:rsidRDefault="00075046" w:rsidP="00075046"/>
    <w:p w14:paraId="32352400" w14:textId="77777777" w:rsidR="00E91A2D" w:rsidRPr="00075046" w:rsidRDefault="00E91A2D" w:rsidP="00075046"/>
    <w:p w14:paraId="74F648B2" w14:textId="2E319367" w:rsidR="00BA3322" w:rsidRDefault="00A05072" w:rsidP="00D04B22">
      <w:pPr>
        <w:pStyle w:val="Naslov2"/>
      </w:pPr>
      <w:bookmarkStart w:id="12" w:name="_Toc29369436"/>
      <w:r>
        <w:t>5.2. Vremenski aspekti projekta</w:t>
      </w:r>
      <w:bookmarkEnd w:id="12"/>
    </w:p>
    <w:p w14:paraId="3EF0B4E7" w14:textId="251C2598" w:rsidR="00EC6D90" w:rsidRPr="00D04B22" w:rsidRDefault="00EC6D90" w:rsidP="00EC6D90">
      <w:pPr>
        <w:rPr>
          <w:sz w:val="24"/>
          <w:szCs w:val="24"/>
        </w:rPr>
      </w:pPr>
      <w:r w:rsidRPr="00D04B22">
        <w:rPr>
          <w:sz w:val="24"/>
          <w:szCs w:val="24"/>
        </w:rPr>
        <w:t>Projekat 'Zdrava hrana u školi' počet će 27.02.2020. godine. Raspored aktivnosti je prilagođen školskoj godini, na način da se sve pripremne aktivnosti završe do početka školske 2020./21. godine, a da se s početkom nastave počne i prodaja novih obroka i realizacija radionica.</w:t>
      </w:r>
    </w:p>
    <w:p w14:paraId="6392BDB8" w14:textId="77777777" w:rsidR="00D04B22" w:rsidRDefault="00EC6D90" w:rsidP="00EC6D90">
      <w:pPr>
        <w:rPr>
          <w:sz w:val="24"/>
          <w:szCs w:val="24"/>
        </w:rPr>
      </w:pPr>
      <w:r w:rsidRPr="00D04B22">
        <w:rPr>
          <w:b/>
          <w:bCs/>
          <w:sz w:val="24"/>
          <w:szCs w:val="24"/>
        </w:rPr>
        <w:t>Pripremna faza projekta</w:t>
      </w:r>
      <w:r w:rsidRPr="00D04B22">
        <w:rPr>
          <w:sz w:val="24"/>
          <w:szCs w:val="24"/>
        </w:rPr>
        <w:t xml:space="preserve"> uključuje aktivnosti sastanka voditelja projekta sa naručiteljem projekta tj. Ministarstvom zdravstva Kantona Sarajevo i izbora članova projektnog tima. Sastanci projektnog tima u trajanju od 1h će se održavati svaki treći ponedjeljak od početka do kraja projekta, s izuzetkom jednog u 7. mjesecu kada će biti pauzirane i ostale aktivnosti.</w:t>
      </w:r>
      <w:r w:rsidR="00E46513" w:rsidRPr="00D04B22">
        <w:rPr>
          <w:sz w:val="24"/>
          <w:szCs w:val="24"/>
        </w:rPr>
        <w:t xml:space="preserve"> </w:t>
      </w:r>
    </w:p>
    <w:p w14:paraId="3B492BA9" w14:textId="2B0E6DB0" w:rsidR="00E46513" w:rsidRPr="00D04B22" w:rsidRDefault="00E46513" w:rsidP="00EC6D90">
      <w:pPr>
        <w:rPr>
          <w:sz w:val="24"/>
          <w:szCs w:val="24"/>
        </w:rPr>
      </w:pPr>
      <w:r w:rsidRPr="00D04B22">
        <w:rPr>
          <w:sz w:val="24"/>
          <w:szCs w:val="24"/>
        </w:rPr>
        <w:lastRenderedPageBreak/>
        <w:t>Voditelj projekta će u saradnji sa savjetnikom za zdravstvo izabrati članove stručnog tima za izradu jelovnika i materijala. Stručni tim će imati svakodnevne sastanke u terminima poslije radnog vremena (17h-20h) u trajanju od tri tjedna.</w:t>
      </w:r>
    </w:p>
    <w:p w14:paraId="07ED1CD8" w14:textId="30DF2132" w:rsidR="00E46513" w:rsidRPr="00D04B22" w:rsidRDefault="00E46513" w:rsidP="00EC6D90">
      <w:pPr>
        <w:rPr>
          <w:sz w:val="24"/>
          <w:szCs w:val="24"/>
        </w:rPr>
      </w:pPr>
      <w:r w:rsidRPr="00D04B22">
        <w:rPr>
          <w:sz w:val="24"/>
          <w:szCs w:val="24"/>
        </w:rPr>
        <w:t xml:space="preserve">Nakon kreiranja jelovnika, radit će se na tenderskoj dokumentaciji i objavljivanju tendera. Trajanje prijema ponuda je 28 dana, nakon čega će komisija izabrati odgovarajuće i objaviti odluku. Nakon 14 dana, koliko mora biti otvoren period za eventualne žalbe, zaključit će se ugovori sa ponuđačima. </w:t>
      </w:r>
    </w:p>
    <w:p w14:paraId="7B094D6F" w14:textId="7BB8694B" w:rsidR="00E46513" w:rsidRPr="00D04B22" w:rsidRDefault="00CA12C8" w:rsidP="00EC6D90">
      <w:pPr>
        <w:rPr>
          <w:sz w:val="24"/>
          <w:szCs w:val="24"/>
        </w:rPr>
      </w:pPr>
      <w:r w:rsidRPr="00D04B22">
        <w:rPr>
          <w:b/>
          <w:bCs/>
          <w:sz w:val="24"/>
          <w:szCs w:val="24"/>
        </w:rPr>
        <w:t>Faza</w:t>
      </w:r>
      <w:r w:rsidR="00C10497" w:rsidRPr="00D04B22">
        <w:rPr>
          <w:b/>
          <w:bCs/>
          <w:sz w:val="24"/>
          <w:szCs w:val="24"/>
        </w:rPr>
        <w:t xml:space="preserve"> edukacije </w:t>
      </w:r>
      <w:r w:rsidR="00C10497" w:rsidRPr="00D04B22">
        <w:rPr>
          <w:sz w:val="24"/>
          <w:szCs w:val="24"/>
        </w:rPr>
        <w:t>uključuje aktivnosti pripreme edukatora i nastavnika kako bi mogli uspješno održavati radionice</w:t>
      </w:r>
      <w:r w:rsidRPr="00D04B22">
        <w:rPr>
          <w:sz w:val="24"/>
          <w:szCs w:val="24"/>
        </w:rPr>
        <w:t>. Ukupno traje tri tjedna, a završava 10.7. kada počinje kolektivni godišnji odmor nastavnika.</w:t>
      </w:r>
    </w:p>
    <w:p w14:paraId="25F67037" w14:textId="2160F059" w:rsidR="00CA12C8" w:rsidRPr="00D04B22" w:rsidRDefault="00CA12C8" w:rsidP="00EC6D90">
      <w:pPr>
        <w:rPr>
          <w:sz w:val="24"/>
          <w:szCs w:val="24"/>
        </w:rPr>
      </w:pPr>
      <w:r w:rsidRPr="00D04B22">
        <w:rPr>
          <w:sz w:val="24"/>
          <w:szCs w:val="24"/>
        </w:rPr>
        <w:t>Pripreme za period realizacije počinju sredinom 8. mjeseca, kada članovi projektnog tima kontaktiraju škole i izrađuju raspored održavanja radionica. Prije početka nastave održat će se i sastanak sa dostavljačima hrane.</w:t>
      </w:r>
    </w:p>
    <w:p w14:paraId="1EF13BC2" w14:textId="0F2D622C" w:rsidR="00CA12C8" w:rsidRPr="00D04B22" w:rsidRDefault="00CA12C8" w:rsidP="00EC6D90">
      <w:pPr>
        <w:rPr>
          <w:sz w:val="24"/>
          <w:szCs w:val="24"/>
        </w:rPr>
      </w:pPr>
      <w:r w:rsidRPr="00D04B22">
        <w:rPr>
          <w:b/>
          <w:bCs/>
          <w:sz w:val="24"/>
          <w:szCs w:val="24"/>
        </w:rPr>
        <w:t>Faza realizacije</w:t>
      </w:r>
      <w:r w:rsidRPr="00D04B22">
        <w:rPr>
          <w:sz w:val="24"/>
          <w:szCs w:val="24"/>
        </w:rPr>
        <w:t xml:space="preserve"> počinje 1.9. kada i školska godina. Projetni tim distribuira materijale po školama, te se počinju održavati radionice. Svaki edukator će otprilike provesti jedan radni tjedan u pojedinoj školi, gdje će zajedno sa nastavnikom održavati radionice. Tako će se za tjedan dana radionice održati u 8 škola, a za 12 tjedana u svim školama.</w:t>
      </w:r>
    </w:p>
    <w:p w14:paraId="5B1BDC18" w14:textId="0A29251B" w:rsidR="00CA12C8" w:rsidRPr="00D04B22" w:rsidRDefault="00CA12C8" w:rsidP="00EC6D90">
      <w:pPr>
        <w:rPr>
          <w:sz w:val="24"/>
          <w:szCs w:val="24"/>
        </w:rPr>
      </w:pPr>
      <w:r w:rsidRPr="00D04B22">
        <w:rPr>
          <w:sz w:val="24"/>
          <w:szCs w:val="24"/>
        </w:rPr>
        <w:t xml:space="preserve">Posljednja faza je </w:t>
      </w:r>
      <w:r w:rsidRPr="00D04B22">
        <w:rPr>
          <w:b/>
          <w:bCs/>
          <w:sz w:val="24"/>
          <w:szCs w:val="24"/>
        </w:rPr>
        <w:t>faza evaluacije</w:t>
      </w:r>
      <w:r w:rsidRPr="00D04B22">
        <w:rPr>
          <w:sz w:val="24"/>
          <w:szCs w:val="24"/>
        </w:rPr>
        <w:t xml:space="preserve">, a uključuje evaluaciju projekta i rezultata projekta. </w:t>
      </w:r>
    </w:p>
    <w:p w14:paraId="6E6BBFD5" w14:textId="49969484" w:rsidR="00CA12C8" w:rsidRPr="00D04B22" w:rsidRDefault="00CA12C8" w:rsidP="00EC6D90">
      <w:pPr>
        <w:rPr>
          <w:sz w:val="24"/>
          <w:szCs w:val="24"/>
        </w:rPr>
      </w:pPr>
      <w:r w:rsidRPr="00D04B22">
        <w:rPr>
          <w:sz w:val="24"/>
          <w:szCs w:val="24"/>
        </w:rPr>
        <w:t>Planirano je da projekat završi do kraja 2020. godine.</w:t>
      </w:r>
    </w:p>
    <w:p w14:paraId="30CC5DB3" w14:textId="5E04C01A" w:rsidR="00644970" w:rsidRPr="00D04B22" w:rsidRDefault="00644970" w:rsidP="00EC6D90">
      <w:pPr>
        <w:rPr>
          <w:sz w:val="24"/>
          <w:szCs w:val="24"/>
        </w:rPr>
      </w:pPr>
      <w:r w:rsidRPr="00D04B22">
        <w:rPr>
          <w:sz w:val="24"/>
          <w:szCs w:val="24"/>
        </w:rPr>
        <w:t>U tabeli 3. je prikazana lista zadaća projekta, trajanje pojedinih zadaća, početni i krajnji datum, dok je na slici 3. prikazan gantogram koji omogućava pregled redoslijeda izvršavanja zadaća.</w:t>
      </w:r>
    </w:p>
    <w:p w14:paraId="03E75852" w14:textId="143C7993" w:rsidR="00E91A2D" w:rsidRDefault="00E91A2D" w:rsidP="00E91A2D">
      <w:pPr>
        <w:rPr>
          <w:sz w:val="24"/>
          <w:szCs w:val="24"/>
        </w:rPr>
      </w:pPr>
      <w:r w:rsidRPr="00D04B22">
        <w:rPr>
          <w:sz w:val="24"/>
          <w:szCs w:val="24"/>
        </w:rPr>
        <w:t xml:space="preserve">Na gantogramu su pored aktivnosti označene i prekretnice (milestones), koje označavaju ključne trenutke korištene za praćenje napredovanja </w:t>
      </w:r>
      <w:r w:rsidRPr="00D04B22">
        <w:rPr>
          <w:sz w:val="24"/>
          <w:szCs w:val="24"/>
        </w:rPr>
        <w:lastRenderedPageBreak/>
        <w:t>projekta. Konkretno, prekretnice su: 'Završetak kreiranja materijala', 'Materijali preuzeti', 'Završena edukacija nastavnika', 'Materijali postavljeni', 'Završene radionice'.</w:t>
      </w:r>
    </w:p>
    <w:p w14:paraId="6F10B592" w14:textId="77777777" w:rsidR="00D04B22" w:rsidRDefault="00D04B22" w:rsidP="00E91A2D">
      <w:pPr>
        <w:rPr>
          <w:sz w:val="24"/>
          <w:szCs w:val="24"/>
        </w:rPr>
      </w:pPr>
    </w:p>
    <w:p w14:paraId="094AD82B" w14:textId="77777777" w:rsidR="00644970" w:rsidRDefault="00CA12C8" w:rsidP="00644970">
      <w:pPr>
        <w:keepNext/>
        <w:jc w:val="center"/>
      </w:pPr>
      <w:r w:rsidRPr="00BA3322">
        <w:rPr>
          <w:noProof/>
        </w:rPr>
        <w:drawing>
          <wp:inline distT="0" distB="0" distL="0" distR="0" wp14:anchorId="2930AF5B" wp14:editId="70267BE5">
            <wp:extent cx="4572000" cy="675483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" t="-1" r="48413" b="435"/>
                    <a:stretch/>
                  </pic:blipFill>
                  <pic:spPr bwMode="auto">
                    <a:xfrm>
                      <a:off x="0" y="0"/>
                      <a:ext cx="4589403" cy="678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E3DCE" w14:textId="575C8FA1" w:rsidR="00A05072" w:rsidRDefault="00644970" w:rsidP="00644970">
      <w:pPr>
        <w:pStyle w:val="Opisslike"/>
        <w:jc w:val="center"/>
      </w:pPr>
      <w:bookmarkStart w:id="13" w:name="_Toc29369454"/>
      <w:r>
        <w:t xml:space="preserve">Tabela </w:t>
      </w:r>
      <w:r w:rsidR="00B225DB">
        <w:fldChar w:fldCharType="begin"/>
      </w:r>
      <w:r w:rsidR="00B225DB">
        <w:instrText xml:space="preserve"> SEQ Tabela \* ARABIC </w:instrText>
      </w:r>
      <w:r w:rsidR="00B225DB">
        <w:fldChar w:fldCharType="separate"/>
      </w:r>
      <w:r w:rsidR="00B225DB">
        <w:rPr>
          <w:noProof/>
        </w:rPr>
        <w:t>3</w:t>
      </w:r>
      <w:r w:rsidR="00B225DB">
        <w:fldChar w:fldCharType="end"/>
      </w:r>
      <w:r>
        <w:t>. Projektne aktivnosti</w:t>
      </w:r>
      <w:bookmarkEnd w:id="13"/>
    </w:p>
    <w:p w14:paraId="1F0B61FA" w14:textId="77777777" w:rsidR="00644970" w:rsidRDefault="00644970" w:rsidP="00644970">
      <w:pPr>
        <w:keepNext/>
        <w:jc w:val="center"/>
      </w:pPr>
      <w:r w:rsidRPr="00644970">
        <w:rPr>
          <w:noProof/>
        </w:rPr>
        <w:lastRenderedPageBreak/>
        <w:drawing>
          <wp:inline distT="0" distB="0" distL="0" distR="0" wp14:anchorId="5EFC1EDC" wp14:editId="6D513C71">
            <wp:extent cx="3906915" cy="820833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49" t="1238" r="746" b="1238"/>
                    <a:stretch/>
                  </pic:blipFill>
                  <pic:spPr bwMode="auto">
                    <a:xfrm>
                      <a:off x="0" y="0"/>
                      <a:ext cx="3914146" cy="822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DDAE0" w14:textId="16A88F22" w:rsidR="00644970" w:rsidRPr="00644970" w:rsidRDefault="00644970" w:rsidP="0053063B">
      <w:pPr>
        <w:pStyle w:val="Opisslike"/>
        <w:jc w:val="center"/>
      </w:pPr>
      <w:bookmarkStart w:id="14" w:name="_Toc2880300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C500A">
        <w:rPr>
          <w:noProof/>
        </w:rPr>
        <w:t>3</w:t>
      </w:r>
      <w:r>
        <w:fldChar w:fldCharType="end"/>
      </w:r>
      <w:r>
        <w:t>. Gantogram</w:t>
      </w:r>
      <w:bookmarkEnd w:id="14"/>
      <w:r w:rsidR="00E23085">
        <w:t xml:space="preserve"> projektnih aktivnosti</w:t>
      </w:r>
    </w:p>
    <w:p w14:paraId="7562D073" w14:textId="0CB0A1DA" w:rsidR="00B7062E" w:rsidRDefault="00CA12C8" w:rsidP="00D04B22">
      <w:pPr>
        <w:pStyle w:val="Naslov2"/>
      </w:pPr>
      <w:bookmarkStart w:id="15" w:name="_Toc29369437"/>
      <w:r>
        <w:lastRenderedPageBreak/>
        <w:t>5.3. Financijski aspekti projekta</w:t>
      </w:r>
      <w:bookmarkEnd w:id="15"/>
    </w:p>
    <w:p w14:paraId="259C92CD" w14:textId="00F28326" w:rsidR="00E23085" w:rsidRDefault="00CA12C8" w:rsidP="001469CA">
      <w:pPr>
        <w:rPr>
          <w:sz w:val="24"/>
          <w:szCs w:val="24"/>
        </w:rPr>
      </w:pPr>
      <w:r w:rsidRPr="00D04B22">
        <w:rPr>
          <w:sz w:val="24"/>
          <w:szCs w:val="24"/>
        </w:rPr>
        <w:t>Naručitelj i sponzor ovog projekta je Ministarstvo zdravstva Kantona Sarajevo</w:t>
      </w:r>
      <w:r w:rsidR="0053063B" w:rsidRPr="00D04B22">
        <w:rPr>
          <w:sz w:val="24"/>
          <w:szCs w:val="24"/>
        </w:rPr>
        <w:t xml:space="preserve">. </w:t>
      </w:r>
      <w:r w:rsidR="00CA7D0E" w:rsidRPr="00D04B22">
        <w:rPr>
          <w:sz w:val="24"/>
          <w:szCs w:val="24"/>
        </w:rPr>
        <w:t xml:space="preserve">Ukupna cijena realizacije projekta je oko 172.000 KM. </w:t>
      </w:r>
      <w:r w:rsidR="0053063B" w:rsidRPr="00D04B22">
        <w:rPr>
          <w:sz w:val="24"/>
          <w:szCs w:val="24"/>
        </w:rPr>
        <w:t>U tabeli 4. su prikazani troškovi za pojedine aktivnosti.</w:t>
      </w:r>
      <w:r w:rsidR="00CA7D0E" w:rsidRPr="00D04B22">
        <w:rPr>
          <w:sz w:val="24"/>
          <w:szCs w:val="24"/>
        </w:rPr>
        <w:t xml:space="preserve"> </w:t>
      </w:r>
    </w:p>
    <w:p w14:paraId="30813616" w14:textId="77777777" w:rsidR="00D04B22" w:rsidRPr="00D04B22" w:rsidRDefault="00D04B22" w:rsidP="001469CA">
      <w:pPr>
        <w:rPr>
          <w:sz w:val="24"/>
          <w:szCs w:val="24"/>
        </w:rPr>
      </w:pPr>
    </w:p>
    <w:p w14:paraId="148A490C" w14:textId="77777777" w:rsidR="0053063B" w:rsidRDefault="0053063B" w:rsidP="0053063B">
      <w:pPr>
        <w:keepNext/>
        <w:jc w:val="center"/>
      </w:pPr>
      <w:r w:rsidRPr="0053063B">
        <w:rPr>
          <w:noProof/>
        </w:rPr>
        <w:drawing>
          <wp:inline distT="0" distB="0" distL="0" distR="0" wp14:anchorId="439B431E" wp14:editId="03592964">
            <wp:extent cx="2876550" cy="56040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" r="61640"/>
                    <a:stretch/>
                  </pic:blipFill>
                  <pic:spPr bwMode="auto">
                    <a:xfrm>
                      <a:off x="0" y="0"/>
                      <a:ext cx="2877089" cy="560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9EDD8" w14:textId="247754EF" w:rsidR="0053063B" w:rsidRDefault="0053063B" w:rsidP="0053063B">
      <w:pPr>
        <w:pStyle w:val="Opisslike"/>
        <w:jc w:val="center"/>
      </w:pPr>
      <w:bookmarkStart w:id="16" w:name="_Toc29369455"/>
      <w:r>
        <w:t xml:space="preserve">Tabela </w:t>
      </w:r>
      <w:r w:rsidR="00B225DB">
        <w:fldChar w:fldCharType="begin"/>
      </w:r>
      <w:r w:rsidR="00B225DB">
        <w:instrText xml:space="preserve"> SEQ Tabela \* ARABIC </w:instrText>
      </w:r>
      <w:r w:rsidR="00B225DB">
        <w:fldChar w:fldCharType="separate"/>
      </w:r>
      <w:r w:rsidR="00B225DB">
        <w:rPr>
          <w:noProof/>
        </w:rPr>
        <w:t>4</w:t>
      </w:r>
      <w:r w:rsidR="00B225DB">
        <w:fldChar w:fldCharType="end"/>
      </w:r>
      <w:r>
        <w:t>. Troškovi projekta</w:t>
      </w:r>
      <w:bookmarkEnd w:id="16"/>
    </w:p>
    <w:p w14:paraId="193914F6" w14:textId="77777777" w:rsidR="00B225DB" w:rsidRDefault="00B225DB" w:rsidP="00B225DB">
      <w:pPr>
        <w:keepNext/>
        <w:jc w:val="center"/>
      </w:pPr>
      <w:r w:rsidRPr="00B225DB">
        <w:rPr>
          <w:noProof/>
        </w:rPr>
        <w:lastRenderedPageBreak/>
        <w:drawing>
          <wp:inline distT="0" distB="0" distL="0" distR="0" wp14:anchorId="26775F90" wp14:editId="60094298">
            <wp:extent cx="4435364" cy="3267075"/>
            <wp:effectExtent l="0" t="0" r="381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7004" b="720"/>
                    <a:stretch/>
                  </pic:blipFill>
                  <pic:spPr bwMode="auto">
                    <a:xfrm>
                      <a:off x="0" y="0"/>
                      <a:ext cx="4441950" cy="327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5779C" w14:textId="10FAFB51" w:rsidR="00E23085" w:rsidRPr="00E23085" w:rsidRDefault="00B225DB" w:rsidP="00B225DB">
      <w:pPr>
        <w:pStyle w:val="Opisslike"/>
        <w:jc w:val="center"/>
      </w:pPr>
      <w:bookmarkStart w:id="17" w:name="_Toc2936945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Cijene korištenih resursa</w:t>
      </w:r>
      <w:r>
        <w:rPr>
          <w:rStyle w:val="Referencafusnote"/>
        </w:rPr>
        <w:footnoteReference w:id="3"/>
      </w:r>
      <w:bookmarkEnd w:id="17"/>
    </w:p>
    <w:p w14:paraId="2B640E9C" w14:textId="3891469F" w:rsidR="00B7062E" w:rsidRDefault="00B7062E" w:rsidP="001469CA"/>
    <w:p w14:paraId="384F1455" w14:textId="06DAC286" w:rsidR="002E3BFC" w:rsidRDefault="002E3BFC">
      <w:pPr>
        <w:spacing w:line="259" w:lineRule="auto"/>
        <w:jc w:val="left"/>
      </w:pPr>
      <w:r>
        <w:br w:type="page"/>
      </w:r>
    </w:p>
    <w:p w14:paraId="5871C340" w14:textId="0FE0C9EC" w:rsidR="00B84333" w:rsidRDefault="00CA7D0E" w:rsidP="00D04B22">
      <w:pPr>
        <w:pStyle w:val="Naslov2"/>
      </w:pPr>
      <w:bookmarkStart w:id="18" w:name="_Toc29369438"/>
      <w:r>
        <w:lastRenderedPageBreak/>
        <w:t>5.4. Projektni tim</w:t>
      </w:r>
      <w:bookmarkEnd w:id="18"/>
    </w:p>
    <w:p w14:paraId="2F81E050" w14:textId="77777777" w:rsidR="004535B7" w:rsidRPr="00D04B22" w:rsidRDefault="00B84333" w:rsidP="00B84333">
      <w:pPr>
        <w:rPr>
          <w:sz w:val="24"/>
          <w:szCs w:val="24"/>
        </w:rPr>
      </w:pPr>
      <w:r w:rsidRPr="00D04B22">
        <w:rPr>
          <w:sz w:val="24"/>
          <w:szCs w:val="24"/>
        </w:rPr>
        <w:t xml:space="preserve">U tabeli 5. su prikazani ljudski resurs anagažirani na projektu. </w:t>
      </w:r>
    </w:p>
    <w:p w14:paraId="12F8848D" w14:textId="77777777" w:rsidR="004535B7" w:rsidRPr="00D04B22" w:rsidRDefault="00B84333" w:rsidP="00B84333">
      <w:pPr>
        <w:rPr>
          <w:sz w:val="24"/>
          <w:szCs w:val="24"/>
        </w:rPr>
      </w:pPr>
      <w:r w:rsidRPr="00D04B22">
        <w:rPr>
          <w:sz w:val="24"/>
          <w:szCs w:val="24"/>
        </w:rPr>
        <w:t xml:space="preserve">Osoba zadužena za planiranje, koordinaciju i kontrolu projekta od početka do kraja je voditelj projekta. Pored toga, on vodi projektni tim. Projektni tim omogućava koordinaciju i realizaciju pojedinih zadaća projekta. </w:t>
      </w:r>
    </w:p>
    <w:p w14:paraId="3DAF1B4E" w14:textId="6301C852" w:rsidR="00B84333" w:rsidRPr="00D04B22" w:rsidRDefault="00B84333" w:rsidP="00B84333">
      <w:pPr>
        <w:rPr>
          <w:sz w:val="24"/>
          <w:szCs w:val="24"/>
        </w:rPr>
      </w:pPr>
      <w:r w:rsidRPr="00D04B22">
        <w:rPr>
          <w:sz w:val="24"/>
          <w:szCs w:val="24"/>
        </w:rPr>
        <w:t>Po dva liječnika i nutricionista sačinjavaju stručni tim. Sa njima sarađuju savjetnici za obrazovanje i zdravstvo, koji daju naputke za optimalnu izvedbu zadaća.</w:t>
      </w:r>
      <w:r w:rsidR="004535B7" w:rsidRPr="00D04B22">
        <w:rPr>
          <w:sz w:val="24"/>
          <w:szCs w:val="24"/>
        </w:rPr>
        <w:t xml:space="preserve"> </w:t>
      </w:r>
    </w:p>
    <w:p w14:paraId="566EED58" w14:textId="02C3F9BA" w:rsidR="004535B7" w:rsidRPr="00D04B22" w:rsidRDefault="004535B7" w:rsidP="00B84333">
      <w:pPr>
        <w:rPr>
          <w:sz w:val="24"/>
          <w:szCs w:val="24"/>
        </w:rPr>
      </w:pPr>
      <w:r w:rsidRPr="00D04B22">
        <w:rPr>
          <w:sz w:val="24"/>
          <w:szCs w:val="24"/>
        </w:rPr>
        <w:t>Za realizaciju javnog natječaja angažiran je pravnik, te komisija za izbor ponuđača.</w:t>
      </w:r>
    </w:p>
    <w:p w14:paraId="33501981" w14:textId="00A8D32B" w:rsidR="004535B7" w:rsidRPr="00D04B22" w:rsidRDefault="004535B7" w:rsidP="00B84333">
      <w:pPr>
        <w:rPr>
          <w:sz w:val="24"/>
          <w:szCs w:val="24"/>
        </w:rPr>
      </w:pPr>
      <w:r w:rsidRPr="00D04B22">
        <w:rPr>
          <w:sz w:val="24"/>
          <w:szCs w:val="24"/>
        </w:rPr>
        <w:t xml:space="preserve">Tim od 8 edukatora zajedno sa po jednim nastavnikom iz svake škole (ukupno 81) radit će na realizaciji suštinskog dijela projekta – radionicama. </w:t>
      </w:r>
    </w:p>
    <w:p w14:paraId="67B9CC05" w14:textId="77777777" w:rsidR="004535B7" w:rsidRPr="00B84333" w:rsidRDefault="004535B7" w:rsidP="00B84333"/>
    <w:p w14:paraId="0DDD661C" w14:textId="77777777" w:rsidR="00B84333" w:rsidRDefault="00B84333" w:rsidP="00B84333">
      <w:pPr>
        <w:keepNext/>
        <w:jc w:val="center"/>
      </w:pPr>
      <w:r w:rsidRPr="00B84333">
        <w:rPr>
          <w:noProof/>
        </w:rPr>
        <w:drawing>
          <wp:inline distT="0" distB="0" distL="0" distR="0" wp14:anchorId="08591F55" wp14:editId="1D879E18">
            <wp:extent cx="2377440" cy="2834005"/>
            <wp:effectExtent l="0" t="0" r="381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1" t="-269" r="70866" b="-11"/>
                    <a:stretch/>
                  </pic:blipFill>
                  <pic:spPr bwMode="auto">
                    <a:xfrm>
                      <a:off x="0" y="0"/>
                      <a:ext cx="237744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FC314" w14:textId="2E6DA2ED" w:rsidR="00B7062E" w:rsidRDefault="00B84333" w:rsidP="00B84333">
      <w:pPr>
        <w:pStyle w:val="Opisslike"/>
        <w:jc w:val="center"/>
      </w:pPr>
      <w:bookmarkStart w:id="19" w:name="_Toc29369457"/>
      <w:r>
        <w:t xml:space="preserve">Tabela </w:t>
      </w:r>
      <w:r w:rsidR="00B225DB">
        <w:fldChar w:fldCharType="begin"/>
      </w:r>
      <w:r w:rsidR="00B225DB">
        <w:instrText xml:space="preserve"> SEQ Tabela \* ARABIC </w:instrText>
      </w:r>
      <w:r w:rsidR="00B225DB">
        <w:fldChar w:fldCharType="separate"/>
      </w:r>
      <w:r w:rsidR="00B225DB">
        <w:rPr>
          <w:noProof/>
        </w:rPr>
        <w:t>6</w:t>
      </w:r>
      <w:r w:rsidR="00B225DB">
        <w:fldChar w:fldCharType="end"/>
      </w:r>
      <w:r>
        <w:t>. Projektni tim</w:t>
      </w:r>
      <w:bookmarkEnd w:id="19"/>
    </w:p>
    <w:p w14:paraId="47437659" w14:textId="02200BC7" w:rsidR="00B7062E" w:rsidRDefault="00B7062E" w:rsidP="001469CA"/>
    <w:p w14:paraId="227083CC" w14:textId="517CECEC" w:rsidR="00B7062E" w:rsidRDefault="00B7062E" w:rsidP="001469CA"/>
    <w:p w14:paraId="5D1CBB61" w14:textId="77777777" w:rsidR="00EE7455" w:rsidRDefault="00EE7455" w:rsidP="001469CA">
      <w:pPr>
        <w:spacing w:after="0"/>
        <w:contextualSpacing/>
        <w:rPr>
          <w:rFonts w:eastAsia="Verdana" w:cs="Verdana"/>
          <w:b/>
        </w:rPr>
      </w:pPr>
    </w:p>
    <w:p w14:paraId="5E801656" w14:textId="1732BA94" w:rsidR="00EE7455" w:rsidRDefault="00EE7455" w:rsidP="00D04B22">
      <w:pPr>
        <w:pStyle w:val="Naslov1"/>
        <w:rPr>
          <w:rFonts w:eastAsia="Verdana"/>
        </w:rPr>
      </w:pPr>
      <w:bookmarkStart w:id="20" w:name="_Toc29369439"/>
      <w:r>
        <w:rPr>
          <w:rFonts w:eastAsia="Verdana"/>
        </w:rPr>
        <w:lastRenderedPageBreak/>
        <w:t>6. Ocjena opravdanosti investicije</w:t>
      </w:r>
      <w:bookmarkEnd w:id="20"/>
    </w:p>
    <w:p w14:paraId="26EEB2BF" w14:textId="55B4CB55" w:rsidR="00A66DEE" w:rsidRPr="00D04B22" w:rsidRDefault="00A66DEE" w:rsidP="00A66DEE">
      <w:pPr>
        <w:rPr>
          <w:sz w:val="24"/>
          <w:szCs w:val="24"/>
        </w:rPr>
      </w:pPr>
      <w:r w:rsidRPr="00D04B22">
        <w:rPr>
          <w:sz w:val="24"/>
          <w:szCs w:val="24"/>
        </w:rPr>
        <w:t>U analizi je prikazan odnos između inicijalne investicije i vrijednosti koristi, gdje su obje izražene u novčanim iznosima. Novčana vrijednost koristi označava uštede za troškove liječenja koje snosi Zavod za javno zdravstvo, ali pored toga postoje i druge društvene koristi koje ne mogu biti monetizirane</w:t>
      </w:r>
      <w:r w:rsidR="00FE2D71" w:rsidRPr="00D04B22">
        <w:rPr>
          <w:sz w:val="24"/>
          <w:szCs w:val="24"/>
        </w:rPr>
        <w:t>.</w:t>
      </w:r>
    </w:p>
    <w:p w14:paraId="4336C1A7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Confidence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&amp;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self-esteem</w:t>
      </w:r>
      <w:proofErr w:type="spellEnd"/>
      <w:r w:rsidRPr="00D04B22">
        <w:rPr>
          <w:rFonts w:eastAsia="Times New Roman" w:cs="Times New Roman"/>
          <w:color w:val="000000"/>
          <w:spacing w:val="3"/>
          <w:sz w:val="24"/>
          <w:szCs w:val="24"/>
          <w:lang w:val="hr-BA" w:eastAsia="hr-BA"/>
        </w:rPr>
        <w:t xml:space="preserve">.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This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included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feelings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a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greater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sense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of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self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worth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,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pleasure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</w:p>
    <w:p w14:paraId="26AFEFB9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personal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appearance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,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assertiveness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, pride,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sense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of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achievement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ability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to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achieve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</w:p>
    <w:p w14:paraId="468C4DB2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new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things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.  </w:t>
      </w:r>
    </w:p>
    <w:p w14:paraId="0F8D7611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</w:p>
    <w:p w14:paraId="40F719D5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Self-direction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life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goals</w:t>
      </w:r>
      <w:proofErr w:type="spellEnd"/>
      <w:r w:rsidRPr="00D04B22">
        <w:rPr>
          <w:rFonts w:eastAsia="Times New Roman" w:cs="Times New Roman"/>
          <w:color w:val="000000"/>
          <w:spacing w:val="3"/>
          <w:sz w:val="24"/>
          <w:szCs w:val="24"/>
          <w:lang w:val="hr-BA" w:eastAsia="hr-BA"/>
        </w:rPr>
        <w:t xml:space="preserve">.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This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included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making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short to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long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term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plans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decisions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</w:p>
    <w:p w14:paraId="62A6C7EF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about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family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,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caring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domestic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roles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,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employment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, personal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ambitions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so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forth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. </w:t>
      </w:r>
    </w:p>
    <w:p w14:paraId="33510792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</w:p>
    <w:p w14:paraId="469C4D85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Social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contact</w:t>
      </w:r>
      <w:proofErr w:type="spellEnd"/>
      <w:r w:rsidRPr="00D04B22">
        <w:rPr>
          <w:rFonts w:eastAsia="Times New Roman" w:cs="Times New Roman"/>
          <w:color w:val="000000"/>
          <w:spacing w:val="3"/>
          <w:sz w:val="24"/>
          <w:szCs w:val="24"/>
          <w:lang w:val="hr-BA" w:eastAsia="hr-BA"/>
        </w:rPr>
        <w:t xml:space="preserve">.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This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included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making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direct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contacts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with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new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people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through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</w:p>
    <w:p w14:paraId="7556CD37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project’s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activities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indirect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social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contacts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made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through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feeling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more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active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</w:p>
    <w:p w14:paraId="1E0BB862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more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motivated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to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engage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social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activities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.  </w:t>
      </w:r>
    </w:p>
    <w:p w14:paraId="42AD55C0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</w:p>
    <w:p w14:paraId="0EBF91E7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Changes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diet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,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exercise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associated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lifestyle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routines</w:t>
      </w:r>
      <w:proofErr w:type="spellEnd"/>
      <w:r w:rsidRPr="00D04B22">
        <w:rPr>
          <w:rFonts w:eastAsia="Times New Roman" w:cs="Times New Roman"/>
          <w:color w:val="000000"/>
          <w:spacing w:val="-1"/>
          <w:sz w:val="24"/>
          <w:szCs w:val="24"/>
          <w:lang w:val="hr-BA" w:eastAsia="hr-BA"/>
        </w:rPr>
        <w:t xml:space="preserve">.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This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included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changes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to </w:t>
      </w:r>
    </w:p>
    <w:p w14:paraId="664CF4A7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mealtimes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,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snacking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,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drinking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alcohol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both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everyday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dedicated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physical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activity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.  </w:t>
      </w:r>
    </w:p>
    <w:p w14:paraId="31528B2D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Some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interviewees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who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smoked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felt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course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had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helped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them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reconsider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their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tobacco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</w:p>
    <w:p w14:paraId="46B21563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consumption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.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However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there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was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no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clear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change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reported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this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respect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.  </w:t>
      </w:r>
    </w:p>
    <w:p w14:paraId="38EB6137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</w:p>
    <w:p w14:paraId="38FD4430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Reduced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weight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,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increased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exercise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,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improvements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overall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health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management </w:t>
      </w:r>
    </w:p>
    <w:p w14:paraId="672DAAAB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of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ill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health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disabili</w:t>
      </w:r>
      <w:r w:rsidRPr="00D04B22">
        <w:rPr>
          <w:rFonts w:eastAsia="Times New Roman" w:cs="Times New Roman"/>
          <w:color w:val="000000"/>
          <w:spacing w:val="-7"/>
          <w:sz w:val="24"/>
          <w:szCs w:val="24"/>
          <w:lang w:val="hr-BA" w:eastAsia="hr-BA"/>
        </w:rPr>
        <w:t>ty</w:t>
      </w:r>
      <w:proofErr w:type="spellEnd"/>
      <w:r w:rsidRPr="00D04B22">
        <w:rPr>
          <w:rFonts w:eastAsia="Times New Roman" w:cs="Times New Roman"/>
          <w:color w:val="000000"/>
          <w:spacing w:val="3"/>
          <w:sz w:val="24"/>
          <w:szCs w:val="24"/>
          <w:lang w:val="hr-BA" w:eastAsia="hr-BA"/>
        </w:rPr>
        <w:t>.</w:t>
      </w:r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This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included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reduced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visits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to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doctors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or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other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health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</w:p>
    <w:p w14:paraId="5DF95C07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social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care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practitioners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;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changes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prescriptions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or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personal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healthcare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. </w:t>
      </w:r>
    </w:p>
    <w:p w14:paraId="424C66B0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</w:p>
    <w:p w14:paraId="080C483B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Wider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changes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.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This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included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changes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routines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with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regard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to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going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into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work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,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looking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</w:p>
    <w:p w14:paraId="5A3BAE30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for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paid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employment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,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looking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after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close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associates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who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needed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care, use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of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leisure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time </w:t>
      </w:r>
    </w:p>
    <w:p w14:paraId="3E964E77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time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spent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domestic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activities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.  </w:t>
      </w:r>
    </w:p>
    <w:p w14:paraId="274CFBB5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</w:p>
    <w:p w14:paraId="4F610560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Fun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enjoyment</w:t>
      </w:r>
      <w:proofErr w:type="spellEnd"/>
      <w:r w:rsidRPr="00D04B22">
        <w:rPr>
          <w:rFonts w:eastAsia="Times New Roman" w:cs="Times New Roman"/>
          <w:color w:val="000000"/>
          <w:spacing w:val="3"/>
          <w:sz w:val="24"/>
          <w:szCs w:val="24"/>
          <w:lang w:val="hr-BA" w:eastAsia="hr-BA"/>
        </w:rPr>
        <w:t xml:space="preserve">.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This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included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overall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life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satisfaction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as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well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as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laughter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,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smiling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, </w:t>
      </w:r>
    </w:p>
    <w:p w14:paraId="58181DAC" w14:textId="77777777" w:rsidR="00B05618" w:rsidRPr="00D04B22" w:rsidRDefault="00B05618" w:rsidP="00B05618">
      <w:pPr>
        <w:shd w:val="clear" w:color="auto" w:fill="FFFFFF"/>
        <w:spacing w:after="0" w:line="0" w:lineRule="auto"/>
        <w:jc w:val="left"/>
        <w:rPr>
          <w:rFonts w:eastAsia="Times New Roman" w:cs="Times New Roman"/>
          <w:color w:val="000000"/>
          <w:sz w:val="24"/>
          <w:szCs w:val="24"/>
          <w:lang w:val="hr-BA" w:eastAsia="hr-BA"/>
        </w:rPr>
      </w:pP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taking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interest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in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new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things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and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so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 </w:t>
      </w:r>
      <w:proofErr w:type="spellStart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>forth</w:t>
      </w:r>
      <w:proofErr w:type="spellEnd"/>
      <w:r w:rsidRPr="00D04B22">
        <w:rPr>
          <w:rFonts w:eastAsia="Times New Roman" w:cs="Times New Roman"/>
          <w:color w:val="000000"/>
          <w:sz w:val="24"/>
          <w:szCs w:val="24"/>
          <w:lang w:val="hr-BA" w:eastAsia="hr-BA"/>
        </w:rPr>
        <w:t xml:space="preserve">. </w:t>
      </w:r>
    </w:p>
    <w:p w14:paraId="48FAF888" w14:textId="77777777" w:rsidR="001A6D05" w:rsidRPr="00D04B22" w:rsidRDefault="00B97F04" w:rsidP="00A66DEE">
      <w:pPr>
        <w:rPr>
          <w:sz w:val="24"/>
          <w:szCs w:val="24"/>
        </w:rPr>
      </w:pPr>
      <w:r w:rsidRPr="00D04B22">
        <w:rPr>
          <w:sz w:val="24"/>
          <w:szCs w:val="24"/>
        </w:rPr>
        <w:t>Za računanje financijske koristi u obzir će biti uzeta samo ušteda novca Zavoda za javno zdravstvo radi preveniranih slučaja dijabetesa tipa II. Budući da ne postoje službeni podaci za incidenciju dijabetesa u Kantonu Sarajevo, korišteni podaci su procjena liječnika na osnovu iskustva u praksi</w:t>
      </w:r>
      <w:r w:rsidR="00A94D33" w:rsidRPr="00D04B22">
        <w:rPr>
          <w:sz w:val="24"/>
          <w:szCs w:val="24"/>
        </w:rPr>
        <w:t xml:space="preserve"> i podaci iz Hrvatske, gdje je incidencija dijabetesa kod djece 10 na 100.000.</w:t>
      </w:r>
      <w:r w:rsidRPr="00D04B22">
        <w:rPr>
          <w:sz w:val="24"/>
          <w:szCs w:val="24"/>
        </w:rPr>
        <w:t xml:space="preserve"> </w:t>
      </w:r>
    </w:p>
    <w:p w14:paraId="04E3F47B" w14:textId="2192E415" w:rsidR="001A6D05" w:rsidRPr="00D04B22" w:rsidRDefault="00B97F04" w:rsidP="00A66DEE">
      <w:pPr>
        <w:rPr>
          <w:sz w:val="24"/>
          <w:szCs w:val="24"/>
        </w:rPr>
      </w:pPr>
      <w:r w:rsidRPr="00D04B22">
        <w:rPr>
          <w:sz w:val="24"/>
          <w:szCs w:val="24"/>
        </w:rPr>
        <w:t>Troškovi liječenja osobe oboljele od dijabetesa</w:t>
      </w:r>
      <w:r w:rsidR="00AC0770" w:rsidRPr="00D04B22">
        <w:rPr>
          <w:sz w:val="24"/>
          <w:szCs w:val="24"/>
        </w:rPr>
        <w:t xml:space="preserve"> (tabela 6.)</w:t>
      </w:r>
      <w:r w:rsidRPr="00D04B22">
        <w:rPr>
          <w:sz w:val="24"/>
          <w:szCs w:val="24"/>
        </w:rPr>
        <w:t xml:space="preserve"> </w:t>
      </w:r>
      <w:r w:rsidR="00A94D33" w:rsidRPr="00D04B22">
        <w:rPr>
          <w:sz w:val="24"/>
          <w:szCs w:val="24"/>
        </w:rPr>
        <w:t>su</w:t>
      </w:r>
      <w:r w:rsidRPr="00D04B22">
        <w:rPr>
          <w:sz w:val="24"/>
          <w:szCs w:val="24"/>
        </w:rPr>
        <w:t xml:space="preserve"> u naj</w:t>
      </w:r>
      <w:r w:rsidR="00573EA2" w:rsidRPr="00D04B22">
        <w:rPr>
          <w:sz w:val="24"/>
          <w:szCs w:val="24"/>
        </w:rPr>
        <w:t>jednostavnijem</w:t>
      </w:r>
      <w:r w:rsidRPr="00D04B22">
        <w:rPr>
          <w:sz w:val="24"/>
          <w:szCs w:val="24"/>
        </w:rPr>
        <w:t xml:space="preserve"> slučaju </w:t>
      </w:r>
      <w:r w:rsidR="00A94D33" w:rsidRPr="00D04B22">
        <w:rPr>
          <w:sz w:val="24"/>
          <w:szCs w:val="24"/>
        </w:rPr>
        <w:t>(</w:t>
      </w:r>
      <w:r w:rsidR="00573EA2" w:rsidRPr="00D04B22">
        <w:rPr>
          <w:sz w:val="24"/>
          <w:szCs w:val="24"/>
        </w:rPr>
        <w:t>bez drugih oboljenja i komplikacij</w:t>
      </w:r>
      <w:r w:rsidR="00A94D33" w:rsidRPr="00D04B22">
        <w:rPr>
          <w:sz w:val="24"/>
          <w:szCs w:val="24"/>
        </w:rPr>
        <w:t>a)</w:t>
      </w:r>
      <w:r w:rsidR="00573EA2" w:rsidRPr="00D04B22">
        <w:rPr>
          <w:sz w:val="24"/>
          <w:szCs w:val="24"/>
        </w:rPr>
        <w:t xml:space="preserve"> </w:t>
      </w:r>
      <w:r w:rsidRPr="00D04B22">
        <w:rPr>
          <w:sz w:val="24"/>
          <w:szCs w:val="24"/>
        </w:rPr>
        <w:t>oko 250 KM mjesečno.</w:t>
      </w:r>
      <w:r w:rsidR="00573EA2" w:rsidRPr="00D04B22">
        <w:rPr>
          <w:sz w:val="24"/>
          <w:szCs w:val="24"/>
        </w:rPr>
        <w:t xml:space="preserve"> </w:t>
      </w:r>
    </w:p>
    <w:p w14:paraId="58080CE2" w14:textId="77777777" w:rsidR="00AC0770" w:rsidRDefault="00AC0770" w:rsidP="00AC0770">
      <w:pPr>
        <w:keepNext/>
        <w:jc w:val="center"/>
      </w:pPr>
      <w:r>
        <w:rPr>
          <w:noProof/>
        </w:rPr>
        <w:drawing>
          <wp:inline distT="0" distB="0" distL="0" distR="0" wp14:anchorId="08019ED1" wp14:editId="54D227F4">
            <wp:extent cx="5546326" cy="160551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-34" b="41765"/>
                    <a:stretch/>
                  </pic:blipFill>
                  <pic:spPr bwMode="auto">
                    <a:xfrm>
                      <a:off x="0" y="0"/>
                      <a:ext cx="5638617" cy="163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233F8" w14:textId="041EC24F" w:rsidR="00AC0770" w:rsidRDefault="00AC0770" w:rsidP="00AC0770">
      <w:pPr>
        <w:pStyle w:val="Opisslike"/>
        <w:jc w:val="center"/>
      </w:pPr>
      <w:bookmarkStart w:id="21" w:name="_Toc29369458"/>
      <w:r>
        <w:t xml:space="preserve">Tabela </w:t>
      </w:r>
      <w:r w:rsidR="00B225DB">
        <w:fldChar w:fldCharType="begin"/>
      </w:r>
      <w:r w:rsidR="00B225DB">
        <w:instrText xml:space="preserve"> SEQ Tabela \* ARABIC </w:instrText>
      </w:r>
      <w:r w:rsidR="00B225DB">
        <w:fldChar w:fldCharType="separate"/>
      </w:r>
      <w:r w:rsidR="00B225DB">
        <w:rPr>
          <w:noProof/>
        </w:rPr>
        <w:t>7</w:t>
      </w:r>
      <w:r w:rsidR="00B225DB">
        <w:fldChar w:fldCharType="end"/>
      </w:r>
      <w:r>
        <w:t>. Mjesečne potrebe dijabetičara</w:t>
      </w:r>
      <w:bookmarkEnd w:id="21"/>
    </w:p>
    <w:p w14:paraId="21C8E8AE" w14:textId="77777777" w:rsidR="001A6D05" w:rsidRPr="001A6D05" w:rsidRDefault="001A6D05" w:rsidP="001A6D05"/>
    <w:p w14:paraId="35838D0A" w14:textId="77E8E783" w:rsidR="001A6D05" w:rsidRPr="00D04B22" w:rsidRDefault="001A6D05" w:rsidP="001A6D05">
      <w:pPr>
        <w:rPr>
          <w:sz w:val="24"/>
          <w:szCs w:val="24"/>
        </w:rPr>
      </w:pPr>
      <w:r w:rsidRPr="00D04B22">
        <w:rPr>
          <w:sz w:val="24"/>
          <w:szCs w:val="24"/>
        </w:rPr>
        <w:t xml:space="preserve">Očekivano je da će se kod oko 37.000 učenika osnovnih škola godišnje biti 4 novootkrivena slučaja. </w:t>
      </w:r>
      <w:r w:rsidR="00D04B22" w:rsidRPr="00D04B22">
        <w:rPr>
          <w:sz w:val="24"/>
          <w:szCs w:val="24"/>
        </w:rPr>
        <w:t>Uspješnom realizacijom projekta omogućit će se prevencija pojave novih slučajeva</w:t>
      </w:r>
      <w:r w:rsidRPr="00D04B22">
        <w:rPr>
          <w:sz w:val="24"/>
          <w:szCs w:val="24"/>
        </w:rPr>
        <w:t>,</w:t>
      </w:r>
      <w:r w:rsidR="00D04B22" w:rsidRPr="00D04B22">
        <w:rPr>
          <w:sz w:val="24"/>
          <w:szCs w:val="24"/>
        </w:rPr>
        <w:t xml:space="preserve"> te </w:t>
      </w:r>
      <w:r w:rsidR="00C1574D">
        <w:rPr>
          <w:sz w:val="24"/>
          <w:szCs w:val="24"/>
        </w:rPr>
        <w:t>je očekivano da će</w:t>
      </w:r>
      <w:r w:rsidRPr="00D04B22">
        <w:rPr>
          <w:sz w:val="24"/>
          <w:szCs w:val="24"/>
        </w:rPr>
        <w:t xml:space="preserve"> Zavod za javno zdravstvo na dugogodišnjem planu imati znatne uštede.</w:t>
      </w:r>
    </w:p>
    <w:p w14:paraId="454D24E2" w14:textId="77777777" w:rsidR="001A6D05" w:rsidRPr="00D04B22" w:rsidRDefault="001A6D05" w:rsidP="001A6D05">
      <w:pPr>
        <w:rPr>
          <w:sz w:val="24"/>
          <w:szCs w:val="24"/>
        </w:rPr>
      </w:pPr>
      <w:r w:rsidRPr="00D04B22">
        <w:rPr>
          <w:sz w:val="24"/>
          <w:szCs w:val="24"/>
        </w:rPr>
        <w:t>Na slici 4. je prikazana očekivana ušteda na desetogodišnjem planu.</w:t>
      </w:r>
    </w:p>
    <w:p w14:paraId="244E7D38" w14:textId="77777777" w:rsidR="00075046" w:rsidRPr="00075046" w:rsidRDefault="00075046" w:rsidP="00075046"/>
    <w:p w14:paraId="757EA9EE" w14:textId="77777777" w:rsidR="002C500A" w:rsidRDefault="002C500A" w:rsidP="002C50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69590C" wp14:editId="7A5ABC35">
            <wp:extent cx="4486275" cy="2305050"/>
            <wp:effectExtent l="0" t="0" r="9525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BC9BB79A-18C7-4510-AC72-10D9C2637F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F5B8764" w14:textId="1D539901" w:rsidR="00516F42" w:rsidRDefault="002C500A" w:rsidP="00AC0770">
      <w:pPr>
        <w:pStyle w:val="Opisslike"/>
        <w:jc w:val="center"/>
      </w:pPr>
      <w:bookmarkStart w:id="22" w:name="_Toc28803007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Ušteda sredstava Zavoda za javno zdravstvo</w:t>
      </w:r>
      <w:bookmarkEnd w:id="22"/>
    </w:p>
    <w:p w14:paraId="2B217B47" w14:textId="77777777" w:rsidR="001A6D05" w:rsidRPr="001A6D05" w:rsidRDefault="001A6D05" w:rsidP="001A6D05"/>
    <w:p w14:paraId="2394F1D2" w14:textId="77C1F3F5" w:rsidR="00FE2D71" w:rsidRPr="00C1574D" w:rsidRDefault="00FE2D71" w:rsidP="00A66DEE">
      <w:pPr>
        <w:rPr>
          <w:sz w:val="24"/>
          <w:szCs w:val="24"/>
        </w:rPr>
      </w:pPr>
      <w:r w:rsidRPr="00C1574D">
        <w:rPr>
          <w:sz w:val="24"/>
          <w:szCs w:val="24"/>
        </w:rPr>
        <w:t>Nakon inicijalnog ulaganja, svake naredne godine u projekat će se ulagati 25.000 KM, za održavanje radionica u tek upisanim odjeljenjima, ažuriranje materijala, eventualne promjene ugovornih dobavljača.</w:t>
      </w:r>
    </w:p>
    <w:p w14:paraId="42CE4B51" w14:textId="7BF15820" w:rsidR="00FE2D71" w:rsidRPr="00C1574D" w:rsidRDefault="007164D4" w:rsidP="00A66DEE">
      <w:pPr>
        <w:rPr>
          <w:sz w:val="24"/>
          <w:szCs w:val="24"/>
        </w:rPr>
      </w:pPr>
      <w:r w:rsidRPr="00C1574D">
        <w:rPr>
          <w:sz w:val="24"/>
          <w:szCs w:val="24"/>
        </w:rPr>
        <w:t>Iako postoje i značajne novčane koristi projekta, stvarna korist ovog projekta se ogleda u društvenom uticaju i to u vidu: boljeg fizičkog i psihičkog zdravlja, poboljšane kvalitete života, efektivnijeg učenja, većeg doprinosa zajednici.</w:t>
      </w:r>
    </w:p>
    <w:p w14:paraId="74CEBFDA" w14:textId="2218C972" w:rsidR="007164D4" w:rsidRPr="00C1574D" w:rsidRDefault="007164D4" w:rsidP="00A66DEE">
      <w:pPr>
        <w:rPr>
          <w:sz w:val="24"/>
          <w:szCs w:val="24"/>
        </w:rPr>
      </w:pPr>
      <w:r w:rsidRPr="00C1574D">
        <w:rPr>
          <w:sz w:val="24"/>
          <w:szCs w:val="24"/>
        </w:rPr>
        <w:t xml:space="preserve">Korisnici projekta su </w:t>
      </w:r>
      <w:r w:rsidR="00075046" w:rsidRPr="00C1574D">
        <w:rPr>
          <w:sz w:val="24"/>
          <w:szCs w:val="24"/>
        </w:rPr>
        <w:t xml:space="preserve">u prvom planu </w:t>
      </w:r>
      <w:r w:rsidRPr="00C1574D">
        <w:rPr>
          <w:sz w:val="24"/>
          <w:szCs w:val="24"/>
        </w:rPr>
        <w:t>djeca, mladi ljudi</w:t>
      </w:r>
      <w:r w:rsidR="00075046" w:rsidRPr="00C1574D">
        <w:rPr>
          <w:sz w:val="24"/>
          <w:szCs w:val="24"/>
        </w:rPr>
        <w:t xml:space="preserve"> i</w:t>
      </w:r>
      <w:r w:rsidRPr="00C1574D">
        <w:rPr>
          <w:sz w:val="24"/>
          <w:szCs w:val="24"/>
        </w:rPr>
        <w:t xml:space="preserve"> roditelji</w:t>
      </w:r>
      <w:r w:rsidR="00075046" w:rsidRPr="00C1574D">
        <w:rPr>
          <w:sz w:val="24"/>
          <w:szCs w:val="24"/>
        </w:rPr>
        <w:t>.</w:t>
      </w:r>
    </w:p>
    <w:p w14:paraId="6213539B" w14:textId="2AA26CDA" w:rsidR="00075046" w:rsidRPr="00C1574D" w:rsidRDefault="00075046" w:rsidP="00A66DEE">
      <w:pPr>
        <w:rPr>
          <w:sz w:val="24"/>
          <w:szCs w:val="24"/>
        </w:rPr>
      </w:pPr>
      <w:r w:rsidRPr="00C1574D">
        <w:rPr>
          <w:sz w:val="24"/>
          <w:szCs w:val="24"/>
        </w:rPr>
        <w:t>Indikatori mjere društvenog uticaja za pojedinca su: dobra prehrana i dobar san, zdrav indeks tjelesne mase, dugoročno poboljšana kvaliteta života, smanjena potreba za zdravstvenom njegom, pozitivan stav prema vlastitom zdravlju, korištenje informacija u vezi sa zdravljem, povećana kontrola nad vlastitim zdravljem.</w:t>
      </w:r>
    </w:p>
    <w:p w14:paraId="5E3C17F2" w14:textId="426F765B" w:rsidR="00FE2D71" w:rsidRDefault="00FE2D71" w:rsidP="00A66DEE"/>
    <w:p w14:paraId="4CCA0BA1" w14:textId="37CEA219" w:rsidR="00FE2D71" w:rsidRDefault="001A6D05" w:rsidP="00C1574D">
      <w:pPr>
        <w:spacing w:line="259" w:lineRule="auto"/>
        <w:jc w:val="left"/>
      </w:pPr>
      <w:r>
        <w:br w:type="page"/>
      </w:r>
    </w:p>
    <w:p w14:paraId="623A58E1" w14:textId="547D9FAC" w:rsidR="00FE2D71" w:rsidRDefault="002B6C11" w:rsidP="00D04B22">
      <w:pPr>
        <w:pStyle w:val="Naslov1"/>
      </w:pPr>
      <w:bookmarkStart w:id="23" w:name="_Toc29369440"/>
      <w:r>
        <w:lastRenderedPageBreak/>
        <w:t>7. Zaključak</w:t>
      </w:r>
      <w:bookmarkEnd w:id="23"/>
    </w:p>
    <w:p w14:paraId="66F1F69B" w14:textId="0ACF1903" w:rsidR="00FE2D71" w:rsidRDefault="0027681D" w:rsidP="00FE2D71">
      <w:pPr>
        <w:rPr>
          <w:sz w:val="24"/>
          <w:szCs w:val="24"/>
        </w:rPr>
      </w:pPr>
      <w:r>
        <w:rPr>
          <w:sz w:val="24"/>
          <w:szCs w:val="24"/>
        </w:rPr>
        <w:t xml:space="preserve">U ovom projektnom planu opisani su uzroci i posljedice loše prehrane učenika, te je odabrana strategija koja će učenicima omogućiti pristup zdravoj hrani i informacijama o važnosti zdrave prehrane. </w:t>
      </w:r>
    </w:p>
    <w:p w14:paraId="05097936" w14:textId="40B9A486" w:rsidR="0027681D" w:rsidRDefault="0027681D" w:rsidP="00FE2D71">
      <w:pPr>
        <w:rPr>
          <w:sz w:val="24"/>
          <w:szCs w:val="24"/>
        </w:rPr>
      </w:pPr>
      <w:r>
        <w:rPr>
          <w:sz w:val="24"/>
          <w:szCs w:val="24"/>
        </w:rPr>
        <w:t>Angažirani tim stručnjaka iz oblasti nutricionizma i medicine je odgovoran za kreiranje materijala iz kojih će se crpiti znanja u projektu. Na osnovu kreiranih jelovnika bit će selektirani dobavljači hrane u školama. Pored toga realizirat će se radionice i postaviti materijali u školama.</w:t>
      </w:r>
    </w:p>
    <w:p w14:paraId="2CE96E24" w14:textId="20AC87C9" w:rsidR="0027681D" w:rsidRDefault="0027681D" w:rsidP="00FE2D71">
      <w:pPr>
        <w:rPr>
          <w:sz w:val="24"/>
          <w:szCs w:val="24"/>
        </w:rPr>
      </w:pPr>
      <w:r>
        <w:rPr>
          <w:sz w:val="24"/>
          <w:szCs w:val="24"/>
        </w:rPr>
        <w:t xml:space="preserve">Trajanje projekta je 10 mjeseci, pri čemu je prva faza pripremna, a s drugom fazom - realizacijom se počinje s početkom školske 2020/2021. godine. </w:t>
      </w:r>
      <w:r w:rsidR="0083162A">
        <w:rPr>
          <w:sz w:val="24"/>
          <w:szCs w:val="24"/>
        </w:rPr>
        <w:t>U 81 osnovnih škola u Kantonu Sarajevu, u svim odjeljenjima će biti održane radionice prilagođene uzrastu učenika</w:t>
      </w:r>
      <w:r w:rsidR="003A48C4">
        <w:rPr>
          <w:sz w:val="24"/>
          <w:szCs w:val="24"/>
        </w:rPr>
        <w:t xml:space="preserve">. </w:t>
      </w:r>
    </w:p>
    <w:p w14:paraId="15E1E4C4" w14:textId="128C255E" w:rsidR="003A48C4" w:rsidRPr="0027681D" w:rsidRDefault="003A48C4" w:rsidP="00FE2D71">
      <w:pPr>
        <w:rPr>
          <w:sz w:val="24"/>
          <w:szCs w:val="24"/>
        </w:rPr>
      </w:pPr>
      <w:r>
        <w:rPr>
          <w:sz w:val="24"/>
          <w:szCs w:val="24"/>
        </w:rPr>
        <w:t>Koristi ovog projekta su i financijske i od društvenog značaja. Očekuje se da će se uspješnom realizacijom projekta omogućiti bolje zdravlje i  kvaliteta života učenika, obitelji i zajednice, što će dovesti do smanjenja zdravstvenih troškova liječenja iz fonda Zavoda za javno zdravstvo.</w:t>
      </w:r>
    </w:p>
    <w:p w14:paraId="5C10C276" w14:textId="7EC50F4A" w:rsidR="00FA0443" w:rsidRDefault="00FA0443" w:rsidP="001469CA">
      <w:pPr>
        <w:spacing w:after="0"/>
        <w:contextualSpacing/>
      </w:pPr>
    </w:p>
    <w:p w14:paraId="68E8854A" w14:textId="3B4E4804" w:rsidR="003A48C4" w:rsidRDefault="003A48C4" w:rsidP="001469CA">
      <w:pPr>
        <w:spacing w:after="0"/>
        <w:contextualSpacing/>
      </w:pPr>
    </w:p>
    <w:p w14:paraId="452D9D04" w14:textId="01ED7AF3" w:rsidR="003A48C4" w:rsidRDefault="003A48C4" w:rsidP="001469CA">
      <w:pPr>
        <w:spacing w:after="0"/>
        <w:contextualSpacing/>
      </w:pPr>
    </w:p>
    <w:p w14:paraId="0E925D40" w14:textId="201010BC" w:rsidR="003A48C4" w:rsidRDefault="003A48C4" w:rsidP="001469CA">
      <w:pPr>
        <w:spacing w:after="0"/>
        <w:contextualSpacing/>
      </w:pPr>
    </w:p>
    <w:p w14:paraId="235EB46C" w14:textId="033C4896" w:rsidR="003A48C4" w:rsidRDefault="003A48C4" w:rsidP="001469CA">
      <w:pPr>
        <w:spacing w:after="0"/>
        <w:contextualSpacing/>
      </w:pPr>
    </w:p>
    <w:p w14:paraId="3AB9628E" w14:textId="7506C70A" w:rsidR="003A48C4" w:rsidRDefault="003A48C4" w:rsidP="001469CA">
      <w:pPr>
        <w:spacing w:after="0"/>
        <w:contextualSpacing/>
      </w:pPr>
    </w:p>
    <w:p w14:paraId="200EB93B" w14:textId="6FE4C3CE" w:rsidR="003A48C4" w:rsidRDefault="003A48C4" w:rsidP="001469CA">
      <w:pPr>
        <w:spacing w:after="0"/>
        <w:contextualSpacing/>
      </w:pPr>
    </w:p>
    <w:p w14:paraId="36389898" w14:textId="3442C248" w:rsidR="003A48C4" w:rsidRDefault="003A48C4" w:rsidP="001469CA">
      <w:pPr>
        <w:spacing w:after="0"/>
        <w:contextualSpacing/>
      </w:pPr>
    </w:p>
    <w:p w14:paraId="00240D71" w14:textId="02244DE5" w:rsidR="003A48C4" w:rsidRDefault="003A48C4" w:rsidP="001469CA">
      <w:pPr>
        <w:spacing w:after="0"/>
        <w:contextualSpacing/>
      </w:pPr>
    </w:p>
    <w:p w14:paraId="45CCF341" w14:textId="629CDB24" w:rsidR="003A48C4" w:rsidRDefault="003A48C4" w:rsidP="001469CA">
      <w:pPr>
        <w:spacing w:after="0"/>
        <w:contextualSpacing/>
      </w:pPr>
    </w:p>
    <w:p w14:paraId="368FEC7D" w14:textId="4A704D47" w:rsidR="003A48C4" w:rsidRDefault="003A48C4" w:rsidP="001469CA">
      <w:pPr>
        <w:spacing w:after="0"/>
        <w:contextualSpacing/>
      </w:pPr>
    </w:p>
    <w:p w14:paraId="51517CC6" w14:textId="77777777" w:rsidR="003A48C4" w:rsidRPr="00167574" w:rsidRDefault="003A48C4" w:rsidP="001469CA">
      <w:pPr>
        <w:spacing w:after="0"/>
        <w:contextualSpacing/>
        <w:rPr>
          <w:rFonts w:eastAsia="Verdana" w:cs="Verdana"/>
        </w:rPr>
      </w:pPr>
    </w:p>
    <w:p w14:paraId="0A01185D" w14:textId="77777777" w:rsidR="00FA0443" w:rsidRPr="00167574" w:rsidRDefault="00FA0443" w:rsidP="001469CA">
      <w:pPr>
        <w:contextualSpacing/>
      </w:pPr>
    </w:p>
    <w:p w14:paraId="7FF08F2D" w14:textId="1E72B1B7" w:rsidR="00552119" w:rsidRDefault="0083162A" w:rsidP="00D04B22">
      <w:pPr>
        <w:pStyle w:val="Naslov1"/>
      </w:pPr>
      <w:bookmarkStart w:id="24" w:name="_Toc29369441"/>
      <w:r>
        <w:lastRenderedPageBreak/>
        <w:t xml:space="preserve">8. </w:t>
      </w:r>
      <w:r w:rsidR="0048007D">
        <w:t>Literatura</w:t>
      </w:r>
      <w:bookmarkEnd w:id="24"/>
    </w:p>
    <w:p w14:paraId="3CF2730E" w14:textId="26ECC25C" w:rsidR="008F7686" w:rsidRPr="0083162A" w:rsidRDefault="008F7686" w:rsidP="00331A47">
      <w:pPr>
        <w:pStyle w:val="tekst"/>
        <w:numPr>
          <w:ilvl w:val="0"/>
          <w:numId w:val="1"/>
        </w:numPr>
        <w:rPr>
          <w:sz w:val="24"/>
          <w:szCs w:val="24"/>
        </w:rPr>
      </w:pPr>
      <w:r w:rsidRPr="0083162A">
        <w:rPr>
          <w:sz w:val="24"/>
          <w:szCs w:val="24"/>
        </w:rPr>
        <w:t>Uvod u upravljanje projektima</w:t>
      </w:r>
      <w:r w:rsidR="0027681D" w:rsidRPr="0083162A">
        <w:rPr>
          <w:sz w:val="24"/>
          <w:szCs w:val="24"/>
        </w:rPr>
        <w:t>, M. Prašo, Mostar, 2005.</w:t>
      </w:r>
    </w:p>
    <w:p w14:paraId="04BB8212" w14:textId="4AE14986" w:rsidR="008F7686" w:rsidRPr="0083162A" w:rsidRDefault="008F7686" w:rsidP="00331A47">
      <w:pPr>
        <w:pStyle w:val="tekst"/>
        <w:numPr>
          <w:ilvl w:val="0"/>
          <w:numId w:val="1"/>
        </w:numPr>
        <w:rPr>
          <w:sz w:val="24"/>
          <w:szCs w:val="24"/>
        </w:rPr>
      </w:pPr>
      <w:r w:rsidRPr="0083162A">
        <w:rPr>
          <w:sz w:val="24"/>
          <w:szCs w:val="24"/>
        </w:rPr>
        <w:t xml:space="preserve">Zabilješke sa predavanja </w:t>
      </w:r>
      <w:r w:rsidR="0027681D" w:rsidRPr="0083162A">
        <w:rPr>
          <w:sz w:val="24"/>
          <w:szCs w:val="24"/>
        </w:rPr>
        <w:t xml:space="preserve">predmeta </w:t>
      </w:r>
      <w:r w:rsidRPr="0083162A">
        <w:rPr>
          <w:sz w:val="24"/>
          <w:szCs w:val="24"/>
        </w:rPr>
        <w:t>Upravljanje projektom,</w:t>
      </w:r>
      <w:r w:rsidR="0027681D" w:rsidRPr="0083162A">
        <w:rPr>
          <w:sz w:val="24"/>
          <w:szCs w:val="24"/>
        </w:rPr>
        <w:t xml:space="preserve"> E. Junuz,</w:t>
      </w:r>
      <w:r w:rsidRPr="0083162A">
        <w:rPr>
          <w:sz w:val="24"/>
          <w:szCs w:val="24"/>
        </w:rPr>
        <w:t xml:space="preserve"> FIT, Mostar, 2019/2020</w:t>
      </w:r>
      <w:r w:rsidR="0027681D" w:rsidRPr="0083162A">
        <w:rPr>
          <w:sz w:val="24"/>
          <w:szCs w:val="24"/>
        </w:rPr>
        <w:t>.</w:t>
      </w:r>
    </w:p>
    <w:p w14:paraId="27082210" w14:textId="05414935" w:rsidR="0048007D" w:rsidRPr="0083162A" w:rsidRDefault="008F7686" w:rsidP="00331A47">
      <w:pPr>
        <w:pStyle w:val="tekst"/>
        <w:numPr>
          <w:ilvl w:val="0"/>
          <w:numId w:val="1"/>
        </w:numPr>
        <w:rPr>
          <w:sz w:val="24"/>
          <w:szCs w:val="24"/>
        </w:rPr>
      </w:pPr>
      <w:r w:rsidRPr="0083162A">
        <w:rPr>
          <w:sz w:val="24"/>
          <w:szCs w:val="24"/>
        </w:rPr>
        <w:t>Nastavni materijali: predavanja, vježbe i workshop</w:t>
      </w:r>
      <w:r w:rsidR="0027681D" w:rsidRPr="0083162A">
        <w:rPr>
          <w:sz w:val="24"/>
          <w:szCs w:val="24"/>
        </w:rPr>
        <w:t>i</w:t>
      </w:r>
      <w:r w:rsidRPr="0083162A">
        <w:rPr>
          <w:sz w:val="24"/>
          <w:szCs w:val="24"/>
        </w:rPr>
        <w:t xml:space="preserve"> iz predmeta „Upravljanje projektom“, postavljeni na DLWMS sistemu FIT-a, 2019/2020</w:t>
      </w:r>
      <w:r w:rsidR="0027681D" w:rsidRPr="0083162A">
        <w:rPr>
          <w:sz w:val="24"/>
          <w:szCs w:val="24"/>
        </w:rPr>
        <w:t>.</w:t>
      </w:r>
    </w:p>
    <w:p w14:paraId="34A21846" w14:textId="3E97D153" w:rsidR="0027681D" w:rsidRPr="0083162A" w:rsidRDefault="0027681D" w:rsidP="00331A47">
      <w:pPr>
        <w:pStyle w:val="tekst"/>
        <w:numPr>
          <w:ilvl w:val="0"/>
          <w:numId w:val="1"/>
        </w:numPr>
        <w:rPr>
          <w:sz w:val="24"/>
          <w:szCs w:val="24"/>
        </w:rPr>
      </w:pPr>
      <w:r w:rsidRPr="0083162A">
        <w:rPr>
          <w:sz w:val="24"/>
          <w:szCs w:val="24"/>
        </w:rPr>
        <w:t>Ishrana i fizička aktivnost učenika osnovnih škola u odnosu na gojaznost, Senka Dinarević, Suada Branković, Snježana Hasanbegović, Sarajevo, 2011.</w:t>
      </w:r>
    </w:p>
    <w:p w14:paraId="7B8FF8DF" w14:textId="50761A44" w:rsidR="0048007D" w:rsidRPr="0083162A" w:rsidRDefault="005432F6" w:rsidP="00331A47">
      <w:pPr>
        <w:pStyle w:val="tekst"/>
        <w:numPr>
          <w:ilvl w:val="0"/>
          <w:numId w:val="1"/>
        </w:numPr>
        <w:rPr>
          <w:sz w:val="24"/>
          <w:szCs w:val="24"/>
        </w:rPr>
      </w:pPr>
      <w:hyperlink r:id="rId21" w:history="1">
        <w:r w:rsidR="0048007D" w:rsidRPr="0083162A">
          <w:rPr>
            <w:rStyle w:val="Hiperveza"/>
            <w:color w:val="auto"/>
            <w:sz w:val="24"/>
            <w:szCs w:val="24"/>
            <w:u w:val="none"/>
          </w:rPr>
          <w:t>https://www.ncbi.nlm.nih.gov/pmc/articles/PMC5126617/</w:t>
        </w:r>
      </w:hyperlink>
      <w:r w:rsidR="0048007D" w:rsidRPr="0083162A">
        <w:rPr>
          <w:sz w:val="24"/>
          <w:szCs w:val="24"/>
        </w:rPr>
        <w:t xml:space="preserve"> (14.11.2019.)</w:t>
      </w:r>
    </w:p>
    <w:p w14:paraId="5DDA8814" w14:textId="764235DC" w:rsidR="00A16E11" w:rsidRPr="0083162A" w:rsidRDefault="005432F6" w:rsidP="00331A47">
      <w:pPr>
        <w:pStyle w:val="tekst"/>
        <w:numPr>
          <w:ilvl w:val="0"/>
          <w:numId w:val="1"/>
        </w:numPr>
        <w:rPr>
          <w:sz w:val="24"/>
          <w:szCs w:val="24"/>
        </w:rPr>
      </w:pPr>
      <w:hyperlink r:id="rId22" w:history="1">
        <w:r w:rsidR="00A16E11" w:rsidRPr="0083162A">
          <w:rPr>
            <w:rStyle w:val="Hiperveza"/>
            <w:color w:val="auto"/>
            <w:sz w:val="24"/>
            <w:szCs w:val="24"/>
            <w:u w:val="none"/>
          </w:rPr>
          <w:t>https://www.who.int/dietphysicalactivity/childhood/en/</w:t>
        </w:r>
      </w:hyperlink>
      <w:r w:rsidR="00A16E11" w:rsidRPr="0083162A">
        <w:rPr>
          <w:sz w:val="24"/>
          <w:szCs w:val="24"/>
        </w:rPr>
        <w:t xml:space="preserve"> (14.11.2019.)</w:t>
      </w:r>
    </w:p>
    <w:p w14:paraId="65193AD8" w14:textId="362E665D" w:rsidR="00A16E11" w:rsidRPr="0083162A" w:rsidRDefault="005432F6" w:rsidP="00331A47">
      <w:pPr>
        <w:pStyle w:val="tekst"/>
        <w:numPr>
          <w:ilvl w:val="0"/>
          <w:numId w:val="1"/>
        </w:numPr>
        <w:rPr>
          <w:sz w:val="24"/>
          <w:szCs w:val="24"/>
        </w:rPr>
      </w:pPr>
      <w:hyperlink r:id="rId23" w:history="1">
        <w:r w:rsidR="00A16E11" w:rsidRPr="0083162A">
          <w:rPr>
            <w:rStyle w:val="Hiperveza"/>
            <w:color w:val="auto"/>
            <w:sz w:val="24"/>
            <w:szCs w:val="24"/>
            <w:u w:val="none"/>
          </w:rPr>
          <w:t>https://www.who.int/news-room/fact-sheets/detail/obesity-and-overweight</w:t>
        </w:r>
      </w:hyperlink>
      <w:r w:rsidR="00A16E11" w:rsidRPr="0083162A">
        <w:rPr>
          <w:sz w:val="24"/>
          <w:szCs w:val="24"/>
        </w:rPr>
        <w:t xml:space="preserve"> (14.11.2019.)</w:t>
      </w:r>
    </w:p>
    <w:p w14:paraId="2D19CE8F" w14:textId="7BD7D7F7" w:rsidR="00E13B39" w:rsidRPr="0083162A" w:rsidRDefault="00E13B39" w:rsidP="00331A47">
      <w:pPr>
        <w:pStyle w:val="tekst"/>
        <w:numPr>
          <w:ilvl w:val="0"/>
          <w:numId w:val="1"/>
        </w:numPr>
        <w:rPr>
          <w:sz w:val="24"/>
          <w:szCs w:val="24"/>
        </w:rPr>
      </w:pPr>
      <w:r w:rsidRPr="0083162A">
        <w:rPr>
          <w:sz w:val="24"/>
          <w:szCs w:val="24"/>
        </w:rPr>
        <w:t>https://www.ncbi.nlm.nih.gov/pmc/articles/PMC5115694/ (14.11.2019.)</w:t>
      </w:r>
    </w:p>
    <w:p w14:paraId="3BF0C682" w14:textId="77777777" w:rsidR="0083162A" w:rsidRPr="0083162A" w:rsidRDefault="00694886" w:rsidP="00331A47">
      <w:pPr>
        <w:pStyle w:val="tekst"/>
        <w:numPr>
          <w:ilvl w:val="0"/>
          <w:numId w:val="1"/>
        </w:numPr>
        <w:rPr>
          <w:sz w:val="24"/>
          <w:szCs w:val="24"/>
        </w:rPr>
      </w:pPr>
      <w:r w:rsidRPr="0083162A">
        <w:rPr>
          <w:sz w:val="24"/>
          <w:szCs w:val="24"/>
        </w:rPr>
        <w:t xml:space="preserve">https://academic.oup.com/bmb/article/53/1/123/285421 </w:t>
      </w:r>
      <w:r w:rsidR="009C77B0" w:rsidRPr="0083162A">
        <w:rPr>
          <w:sz w:val="24"/>
          <w:szCs w:val="24"/>
        </w:rPr>
        <w:t>(14.11.2019.)</w:t>
      </w:r>
    </w:p>
    <w:p w14:paraId="20A702D9" w14:textId="5CAB8A98" w:rsidR="008F7686" w:rsidRPr="0083162A" w:rsidRDefault="00E813B8" w:rsidP="00331A47">
      <w:pPr>
        <w:pStyle w:val="tekst"/>
        <w:numPr>
          <w:ilvl w:val="0"/>
          <w:numId w:val="1"/>
        </w:numPr>
        <w:rPr>
          <w:rStyle w:val="a-size-extra-large"/>
          <w:sz w:val="24"/>
          <w:szCs w:val="24"/>
        </w:rPr>
      </w:pPr>
      <w:r w:rsidRPr="0083162A">
        <w:rPr>
          <w:rStyle w:val="a-size-extra-large"/>
          <w:sz w:val="24"/>
          <w:szCs w:val="24"/>
        </w:rPr>
        <w:t>Teaching with the Brain in Mind, Revised 2nd Edition, Eric Jensen</w:t>
      </w:r>
    </w:p>
    <w:p w14:paraId="04D64C2E" w14:textId="5FFA0817" w:rsidR="0027681D" w:rsidRPr="0083162A" w:rsidRDefault="0083162A" w:rsidP="00331A47">
      <w:pPr>
        <w:pStyle w:val="tekst"/>
        <w:numPr>
          <w:ilvl w:val="0"/>
          <w:numId w:val="1"/>
        </w:numPr>
        <w:rPr>
          <w:rStyle w:val="a-size-extra-large"/>
          <w:sz w:val="24"/>
          <w:szCs w:val="24"/>
        </w:rPr>
      </w:pPr>
      <w:r w:rsidRPr="0083162A">
        <w:rPr>
          <w:rStyle w:val="Istaknuto"/>
          <w:i w:val="0"/>
          <w:iCs w:val="0"/>
          <w:sz w:val="24"/>
          <w:szCs w:val="24"/>
        </w:rPr>
        <w:t>What are we feeding our children? A junk food advertising audit</w:t>
      </w:r>
      <w:r w:rsidRPr="0083162A">
        <w:rPr>
          <w:sz w:val="24"/>
          <w:szCs w:val="24"/>
        </w:rPr>
        <w:t xml:space="preserve">, </w:t>
      </w:r>
      <w:r w:rsidR="0027681D" w:rsidRPr="0083162A">
        <w:rPr>
          <w:sz w:val="24"/>
          <w:szCs w:val="24"/>
        </w:rPr>
        <w:t>Australian Divisions of General Practice (ADGP),</w:t>
      </w:r>
      <w:r w:rsidRPr="0083162A">
        <w:rPr>
          <w:sz w:val="24"/>
          <w:szCs w:val="24"/>
        </w:rPr>
        <w:t xml:space="preserve"> </w:t>
      </w:r>
      <w:r w:rsidR="0027681D" w:rsidRPr="0083162A">
        <w:rPr>
          <w:sz w:val="24"/>
          <w:szCs w:val="24"/>
        </w:rPr>
        <w:t>Canberra, 2003</w:t>
      </w:r>
    </w:p>
    <w:p w14:paraId="3E2CABEB" w14:textId="77777777" w:rsidR="003A48C4" w:rsidRPr="00167574" w:rsidRDefault="003A48C4" w:rsidP="003A48C4">
      <w:pPr>
        <w:spacing w:after="0"/>
        <w:contextualSpacing/>
        <w:rPr>
          <w:rFonts w:eastAsia="Verdana" w:cs="Verdana"/>
        </w:rPr>
      </w:pPr>
    </w:p>
    <w:p w14:paraId="52CC371A" w14:textId="77777777" w:rsidR="003A48C4" w:rsidRPr="00167574" w:rsidRDefault="003A48C4" w:rsidP="003A48C4">
      <w:pPr>
        <w:spacing w:after="0"/>
        <w:contextualSpacing/>
        <w:rPr>
          <w:rFonts w:eastAsia="Verdana" w:cs="Verdana"/>
        </w:rPr>
      </w:pPr>
    </w:p>
    <w:p w14:paraId="2C166F88" w14:textId="77777777" w:rsidR="003A48C4" w:rsidRPr="00167574" w:rsidRDefault="003A48C4" w:rsidP="00544186">
      <w:pPr>
        <w:spacing w:after="0"/>
        <w:contextualSpacing/>
        <w:rPr>
          <w:rFonts w:eastAsia="Verdana" w:cs="Verdana"/>
        </w:rPr>
      </w:pPr>
    </w:p>
    <w:p w14:paraId="73C1760A" w14:textId="77777777" w:rsidR="003A48C4" w:rsidRPr="00167574" w:rsidRDefault="003A48C4" w:rsidP="003A48C4">
      <w:pPr>
        <w:spacing w:after="0"/>
        <w:contextualSpacing/>
        <w:rPr>
          <w:rFonts w:eastAsia="Verdana" w:cs="Verdana"/>
        </w:rPr>
      </w:pPr>
    </w:p>
    <w:p w14:paraId="06168C41" w14:textId="7809F4AA" w:rsidR="00B9756B" w:rsidRPr="00167574" w:rsidRDefault="00B9756B" w:rsidP="0083162A">
      <w:pPr>
        <w:contextualSpacing/>
      </w:pPr>
    </w:p>
    <w:sectPr w:rsidR="00B9756B" w:rsidRPr="00167574" w:rsidSect="00D12B43">
      <w:footerReference w:type="default" r:id="rId24"/>
      <w:footerReference w:type="first" r:id="rId2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93237" w14:textId="77777777" w:rsidR="005432F6" w:rsidRDefault="005432F6" w:rsidP="00A457F0">
      <w:pPr>
        <w:spacing w:after="0" w:line="240" w:lineRule="auto"/>
      </w:pPr>
      <w:r>
        <w:separator/>
      </w:r>
    </w:p>
    <w:p w14:paraId="4AE87273" w14:textId="77777777" w:rsidR="005432F6" w:rsidRDefault="005432F6"/>
  </w:endnote>
  <w:endnote w:type="continuationSeparator" w:id="0">
    <w:p w14:paraId="64F8B7CC" w14:textId="77777777" w:rsidR="005432F6" w:rsidRDefault="005432F6" w:rsidP="00A457F0">
      <w:pPr>
        <w:spacing w:after="0" w:line="240" w:lineRule="auto"/>
      </w:pPr>
      <w:r>
        <w:continuationSeparator/>
      </w:r>
    </w:p>
    <w:p w14:paraId="34AFE84C" w14:textId="77777777" w:rsidR="005432F6" w:rsidRDefault="005432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16B19" w14:textId="65D14A6C" w:rsidR="002B6C11" w:rsidRDefault="002B6C11">
    <w:pPr>
      <w:pStyle w:val="Podnoje"/>
      <w:jc w:val="right"/>
    </w:pPr>
  </w:p>
  <w:p w14:paraId="2CC8763E" w14:textId="77777777" w:rsidR="002B6C11" w:rsidRDefault="002B6C11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8FE57" w14:textId="5A19FC58" w:rsidR="002B6C11" w:rsidRDefault="002B6C11">
    <w:pPr>
      <w:pStyle w:val="Podnoje"/>
      <w:jc w:val="right"/>
    </w:pPr>
  </w:p>
  <w:p w14:paraId="0F621C69" w14:textId="77777777" w:rsidR="002B6C11" w:rsidRDefault="002B6C11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9846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DE3681" w14:textId="05ACAAF2" w:rsidR="002B6C11" w:rsidRDefault="002B6C11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6EE284" w14:textId="77777777" w:rsidR="002B6C11" w:rsidRDefault="002B6C11">
    <w:pPr>
      <w:pStyle w:val="Podnoje"/>
    </w:pPr>
  </w:p>
  <w:p w14:paraId="00354341" w14:textId="77777777" w:rsidR="002B6C11" w:rsidRDefault="002B6C1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0687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DA9E4" w14:textId="076E7F30" w:rsidR="002B6C11" w:rsidRDefault="002B6C11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504A8E" w14:textId="77777777" w:rsidR="002B6C11" w:rsidRDefault="002B6C11">
    <w:pPr>
      <w:pStyle w:val="Podnoje"/>
    </w:pPr>
  </w:p>
  <w:p w14:paraId="2B2D134F" w14:textId="77777777" w:rsidR="002B6C11" w:rsidRDefault="002B6C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5BDD1" w14:textId="77777777" w:rsidR="005432F6" w:rsidRDefault="005432F6" w:rsidP="00A457F0">
      <w:pPr>
        <w:spacing w:after="0" w:line="240" w:lineRule="auto"/>
      </w:pPr>
      <w:r>
        <w:separator/>
      </w:r>
    </w:p>
    <w:p w14:paraId="2CFFE5C6" w14:textId="77777777" w:rsidR="005432F6" w:rsidRDefault="005432F6"/>
  </w:footnote>
  <w:footnote w:type="continuationSeparator" w:id="0">
    <w:p w14:paraId="657333F1" w14:textId="77777777" w:rsidR="005432F6" w:rsidRDefault="005432F6" w:rsidP="00A457F0">
      <w:pPr>
        <w:spacing w:after="0" w:line="240" w:lineRule="auto"/>
      </w:pPr>
      <w:r>
        <w:continuationSeparator/>
      </w:r>
    </w:p>
    <w:p w14:paraId="0F9CA176" w14:textId="77777777" w:rsidR="005432F6" w:rsidRDefault="005432F6"/>
  </w:footnote>
  <w:footnote w:id="1">
    <w:p w14:paraId="0DAF3789" w14:textId="286F77B3" w:rsidR="002B6C11" w:rsidRPr="00685EB4" w:rsidRDefault="002B6C11">
      <w:pPr>
        <w:pStyle w:val="Tekstfusnote"/>
        <w:rPr>
          <w:lang w:val="hr-BA"/>
        </w:rPr>
      </w:pPr>
      <w:r>
        <w:rPr>
          <w:rStyle w:val="Referencafusnote"/>
        </w:rPr>
        <w:footnoteRef/>
      </w:r>
      <w:r>
        <w:t xml:space="preserve"> Dinarević, Branković, Hasanbegović: </w:t>
      </w:r>
      <w:r w:rsidRPr="0075396F">
        <w:rPr>
          <w:i/>
          <w:lang w:val="hr-BA"/>
        </w:rPr>
        <w:t>Ishrana i fizička aktivnost učenika osnovnih škola u odnosu na gojaznost</w:t>
      </w:r>
      <w:r>
        <w:rPr>
          <w:lang w:val="hr-BA"/>
        </w:rPr>
        <w:t>, 2011.</w:t>
      </w:r>
    </w:p>
  </w:footnote>
  <w:footnote w:id="2">
    <w:p w14:paraId="7078474D" w14:textId="47C7C9F4" w:rsidR="002B6C11" w:rsidRPr="0075396F" w:rsidRDefault="002B6C11">
      <w:pPr>
        <w:pStyle w:val="Tekstfusnote"/>
        <w:rPr>
          <w:lang w:val="hr-BA"/>
        </w:rPr>
      </w:pPr>
      <w:r>
        <w:rPr>
          <w:rStyle w:val="Referencafusnote"/>
        </w:rPr>
        <w:footnoteRef/>
      </w:r>
      <w:r>
        <w:t xml:space="preserve"> 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Australian Divisions of General Practice (ADGP), </w:t>
      </w:r>
      <w:r>
        <w:rPr>
          <w:rStyle w:val="Istaknuto"/>
          <w:rFonts w:ascii="Helvetica" w:hAnsi="Helvetica" w:cs="Helvetica"/>
          <w:color w:val="222222"/>
          <w:sz w:val="23"/>
          <w:szCs w:val="23"/>
          <w:shd w:val="clear" w:color="auto" w:fill="FFFFFF"/>
        </w:rPr>
        <w:t>What are we feeding our children? A junk food advertising audit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, Canberra, 2003</w:t>
      </w:r>
    </w:p>
  </w:footnote>
  <w:footnote w:id="3">
    <w:p w14:paraId="10C55FB9" w14:textId="74F8C642" w:rsidR="00AA2389" w:rsidRDefault="00B225DB">
      <w:pPr>
        <w:pStyle w:val="Tekstfusnote"/>
      </w:pPr>
      <w:r>
        <w:rPr>
          <w:rStyle w:val="Referencafusnote"/>
        </w:rPr>
        <w:footnoteRef/>
      </w:r>
      <w:r>
        <w:t xml:space="preserve"> </w:t>
      </w:r>
      <w:r w:rsidR="00AA2389">
        <w:t>Izvori za cijene korištenih resursa:</w:t>
      </w:r>
    </w:p>
    <w:p w14:paraId="0D388653" w14:textId="2DC54102" w:rsidR="00B225DB" w:rsidRPr="00AA2389" w:rsidRDefault="00AA2389" w:rsidP="002E3BFC">
      <w:pPr>
        <w:pStyle w:val="Tekstfusnote"/>
        <w:ind w:left="708"/>
      </w:pPr>
      <w:r>
        <w:t>-</w:t>
      </w:r>
      <w:r>
        <w:rPr>
          <w:lang w:val="hr-HR"/>
        </w:rPr>
        <w:t xml:space="preserve"> </w:t>
      </w:r>
      <w:r w:rsidR="00B225DB">
        <w:rPr>
          <w:lang w:val="hr-HR"/>
        </w:rPr>
        <w:t xml:space="preserve">ljudski </w:t>
      </w:r>
      <w:r>
        <w:rPr>
          <w:lang w:val="hr-HR"/>
        </w:rPr>
        <w:t xml:space="preserve">resursi: </w:t>
      </w:r>
      <w:r w:rsidR="00B225DB">
        <w:rPr>
          <w:lang w:val="hr-HR"/>
        </w:rPr>
        <w:t xml:space="preserve"> </w:t>
      </w:r>
      <w:hyperlink r:id="rId1" w:history="1">
        <w:r w:rsidR="00B225DB" w:rsidRPr="00D410A7">
          <w:rPr>
            <w:rStyle w:val="Hiperveza"/>
            <w:lang w:val="hr-HR"/>
          </w:rPr>
          <w:t>https://www.plata.ba</w:t>
        </w:r>
      </w:hyperlink>
      <w:r w:rsidR="00B225DB">
        <w:rPr>
          <w:lang w:val="hr-HR"/>
        </w:rPr>
        <w:t xml:space="preserve"> (30.12.2019)</w:t>
      </w:r>
    </w:p>
    <w:p w14:paraId="5383E068" w14:textId="794DE377" w:rsidR="00B225DB" w:rsidRDefault="00AA2389" w:rsidP="002E3BFC">
      <w:pPr>
        <w:pStyle w:val="Tekstfusnote"/>
        <w:ind w:left="708"/>
        <w:jc w:val="left"/>
        <w:rPr>
          <w:lang w:val="hr-HR"/>
        </w:rPr>
      </w:pPr>
      <w:r>
        <w:rPr>
          <w:lang w:val="hr-HR"/>
        </w:rPr>
        <w:t>-</w:t>
      </w:r>
      <w:r w:rsidR="002E3BFC">
        <w:rPr>
          <w:lang w:val="hr-HR"/>
        </w:rPr>
        <w:t xml:space="preserve"> </w:t>
      </w:r>
      <w:r w:rsidR="00B225DB">
        <w:rPr>
          <w:lang w:val="hr-HR"/>
        </w:rPr>
        <w:t>troškov</w:t>
      </w:r>
      <w:r>
        <w:rPr>
          <w:lang w:val="hr-HR"/>
        </w:rPr>
        <w:t>i</w:t>
      </w:r>
      <w:r w:rsidR="00B225DB">
        <w:rPr>
          <w:lang w:val="hr-HR"/>
        </w:rPr>
        <w:t xml:space="preserve"> javnog oglašavanja: </w:t>
      </w:r>
      <w:hyperlink r:id="rId2" w:history="1">
        <w:r w:rsidR="002E3BFC" w:rsidRPr="00D410A7">
          <w:rPr>
            <w:rStyle w:val="Hiperveza"/>
            <w:lang w:val="hr-HR"/>
          </w:rPr>
          <w:t>http://www.sluzbenilist.ba</w:t>
        </w:r>
      </w:hyperlink>
      <w:r w:rsidR="002E3BFC">
        <w:rPr>
          <w:lang w:val="hr-HR"/>
        </w:rPr>
        <w:t xml:space="preserve"> </w:t>
      </w:r>
      <w:r w:rsidR="002E3BFC">
        <w:rPr>
          <w:lang w:val="hr-HR"/>
        </w:rPr>
        <w:t>(30.12.2019)</w:t>
      </w:r>
    </w:p>
    <w:p w14:paraId="25AF0117" w14:textId="7DFE681E" w:rsidR="00AA2389" w:rsidRDefault="00AA2389" w:rsidP="002E3BFC">
      <w:pPr>
        <w:pStyle w:val="Tekstfusnote"/>
        <w:ind w:left="708"/>
        <w:rPr>
          <w:lang w:val="hr-HR"/>
        </w:rPr>
      </w:pPr>
      <w:r>
        <w:rPr>
          <w:lang w:val="hr-HR"/>
        </w:rPr>
        <w:t>- najam automobila: ponuda Rent a car tvrtke Kapitals d.o.o. Sarajevo</w:t>
      </w:r>
    </w:p>
    <w:p w14:paraId="21D2F0EC" w14:textId="15DF93DB" w:rsidR="002E3BFC" w:rsidRDefault="002E3BFC" w:rsidP="006B7700">
      <w:pPr>
        <w:pStyle w:val="Tekstfusnote"/>
        <w:ind w:left="708"/>
        <w:rPr>
          <w:lang w:val="hr-HR"/>
        </w:rPr>
      </w:pPr>
      <w:r>
        <w:rPr>
          <w:lang w:val="hr-HR"/>
        </w:rPr>
        <w:t xml:space="preserve">- </w:t>
      </w:r>
      <w:r w:rsidR="00AA2389">
        <w:rPr>
          <w:lang w:val="hr-HR"/>
        </w:rPr>
        <w:t>plakat</w:t>
      </w:r>
      <w:r>
        <w:rPr>
          <w:lang w:val="hr-HR"/>
        </w:rPr>
        <w:t>i</w:t>
      </w:r>
      <w:r w:rsidR="00AA2389">
        <w:rPr>
          <w:lang w:val="hr-HR"/>
        </w:rPr>
        <w:t xml:space="preserve"> i materijal</w:t>
      </w:r>
      <w:r>
        <w:rPr>
          <w:lang w:val="hr-HR"/>
        </w:rPr>
        <w:t>i</w:t>
      </w:r>
      <w:r w:rsidR="00AA2389">
        <w:rPr>
          <w:lang w:val="hr-HR"/>
        </w:rPr>
        <w:t xml:space="preserve">: </w:t>
      </w:r>
      <w:hyperlink r:id="rId3" w:history="1">
        <w:r w:rsidRPr="00D410A7">
          <w:rPr>
            <w:rStyle w:val="Hiperveza"/>
            <w:lang w:val="hr-HR"/>
          </w:rPr>
          <w:t>https://europlakatbh.ba/</w:t>
        </w:r>
      </w:hyperlink>
      <w:r>
        <w:rPr>
          <w:lang w:val="hr-HR"/>
        </w:rPr>
        <w:t xml:space="preserve"> </w:t>
      </w:r>
      <w:r>
        <w:rPr>
          <w:lang w:val="hr-HR"/>
        </w:rPr>
        <w:t>(30.12.2019)</w:t>
      </w:r>
    </w:p>
    <w:p w14:paraId="6E8A8915" w14:textId="77777777" w:rsidR="00B225DB" w:rsidRPr="00B225DB" w:rsidRDefault="00B225DB">
      <w:pPr>
        <w:pStyle w:val="Tekstfusnote"/>
        <w:rPr>
          <w:lang w:val="hr-H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26608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DB80C0" w14:textId="0A47688F" w:rsidR="002B6C11" w:rsidRDefault="005432F6">
        <w:pPr>
          <w:pStyle w:val="Zaglavlje"/>
          <w:jc w:val="right"/>
        </w:pPr>
      </w:p>
    </w:sdtContent>
  </w:sdt>
  <w:p w14:paraId="3C7A00A2" w14:textId="77777777" w:rsidR="002B6C11" w:rsidRDefault="002B6C11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F0CB0"/>
    <w:multiLevelType w:val="hybridMultilevel"/>
    <w:tmpl w:val="E08C155A"/>
    <w:lvl w:ilvl="0" w:tplc="10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45"/>
    <w:rsid w:val="0004462E"/>
    <w:rsid w:val="00057962"/>
    <w:rsid w:val="00066CA8"/>
    <w:rsid w:val="00075046"/>
    <w:rsid w:val="00076738"/>
    <w:rsid w:val="00077012"/>
    <w:rsid w:val="000A3C8E"/>
    <w:rsid w:val="000B090E"/>
    <w:rsid w:val="000D2AE3"/>
    <w:rsid w:val="00122B2D"/>
    <w:rsid w:val="001469CA"/>
    <w:rsid w:val="00153C80"/>
    <w:rsid w:val="00154F82"/>
    <w:rsid w:val="00167574"/>
    <w:rsid w:val="001676C5"/>
    <w:rsid w:val="00174F24"/>
    <w:rsid w:val="00183C0B"/>
    <w:rsid w:val="001A3511"/>
    <w:rsid w:val="001A6075"/>
    <w:rsid w:val="001A6D05"/>
    <w:rsid w:val="00205357"/>
    <w:rsid w:val="002237DF"/>
    <w:rsid w:val="002308A5"/>
    <w:rsid w:val="002521AE"/>
    <w:rsid w:val="0025236F"/>
    <w:rsid w:val="002550EB"/>
    <w:rsid w:val="0027681D"/>
    <w:rsid w:val="002A2EBD"/>
    <w:rsid w:val="002B5E33"/>
    <w:rsid w:val="002B6C11"/>
    <w:rsid w:val="002C21F9"/>
    <w:rsid w:val="002C500A"/>
    <w:rsid w:val="002D12D1"/>
    <w:rsid w:val="002D2186"/>
    <w:rsid w:val="002D5D71"/>
    <w:rsid w:val="002E3BFC"/>
    <w:rsid w:val="003049D7"/>
    <w:rsid w:val="0031708F"/>
    <w:rsid w:val="00326317"/>
    <w:rsid w:val="00331A47"/>
    <w:rsid w:val="00331C6B"/>
    <w:rsid w:val="0033270A"/>
    <w:rsid w:val="003366CF"/>
    <w:rsid w:val="0035573C"/>
    <w:rsid w:val="0035777A"/>
    <w:rsid w:val="003647DE"/>
    <w:rsid w:val="003953CB"/>
    <w:rsid w:val="003A173E"/>
    <w:rsid w:val="003A373A"/>
    <w:rsid w:val="003A48C4"/>
    <w:rsid w:val="003C325A"/>
    <w:rsid w:val="003E503C"/>
    <w:rsid w:val="003F2132"/>
    <w:rsid w:val="00413B63"/>
    <w:rsid w:val="0042119F"/>
    <w:rsid w:val="00435BF6"/>
    <w:rsid w:val="004535B7"/>
    <w:rsid w:val="0048007D"/>
    <w:rsid w:val="00485F92"/>
    <w:rsid w:val="004870A4"/>
    <w:rsid w:val="004A30FB"/>
    <w:rsid w:val="004A67DA"/>
    <w:rsid w:val="004D51DA"/>
    <w:rsid w:val="004F4385"/>
    <w:rsid w:val="00500B3D"/>
    <w:rsid w:val="00504D6A"/>
    <w:rsid w:val="00516F42"/>
    <w:rsid w:val="005220EB"/>
    <w:rsid w:val="00522475"/>
    <w:rsid w:val="0053063B"/>
    <w:rsid w:val="00534FFF"/>
    <w:rsid w:val="005432F6"/>
    <w:rsid w:val="00544186"/>
    <w:rsid w:val="00544A74"/>
    <w:rsid w:val="00552119"/>
    <w:rsid w:val="00560323"/>
    <w:rsid w:val="00573EA2"/>
    <w:rsid w:val="00582CDF"/>
    <w:rsid w:val="005A0829"/>
    <w:rsid w:val="00601D39"/>
    <w:rsid w:val="00611122"/>
    <w:rsid w:val="006348F0"/>
    <w:rsid w:val="00640EC6"/>
    <w:rsid w:val="00643FAD"/>
    <w:rsid w:val="00644970"/>
    <w:rsid w:val="0064660C"/>
    <w:rsid w:val="00672D3C"/>
    <w:rsid w:val="00685EB4"/>
    <w:rsid w:val="00693086"/>
    <w:rsid w:val="00694886"/>
    <w:rsid w:val="006A529D"/>
    <w:rsid w:val="006B7700"/>
    <w:rsid w:val="006D4441"/>
    <w:rsid w:val="006D5FAA"/>
    <w:rsid w:val="006D7DAC"/>
    <w:rsid w:val="006F1451"/>
    <w:rsid w:val="00706AF7"/>
    <w:rsid w:val="00710D75"/>
    <w:rsid w:val="007164D4"/>
    <w:rsid w:val="00720F0D"/>
    <w:rsid w:val="007446E0"/>
    <w:rsid w:val="00746AC2"/>
    <w:rsid w:val="0075396F"/>
    <w:rsid w:val="007A0B12"/>
    <w:rsid w:val="007E0737"/>
    <w:rsid w:val="007E18BB"/>
    <w:rsid w:val="007E2D67"/>
    <w:rsid w:val="007E5F81"/>
    <w:rsid w:val="007F6D22"/>
    <w:rsid w:val="00815C9D"/>
    <w:rsid w:val="00817A1E"/>
    <w:rsid w:val="00827981"/>
    <w:rsid w:val="0083162A"/>
    <w:rsid w:val="00832CB5"/>
    <w:rsid w:val="00844A82"/>
    <w:rsid w:val="00856267"/>
    <w:rsid w:val="0085775C"/>
    <w:rsid w:val="00882C0B"/>
    <w:rsid w:val="00884A06"/>
    <w:rsid w:val="00894E24"/>
    <w:rsid w:val="008B19FC"/>
    <w:rsid w:val="008C1776"/>
    <w:rsid w:val="008C26C8"/>
    <w:rsid w:val="008D708D"/>
    <w:rsid w:val="008D75F7"/>
    <w:rsid w:val="008E3459"/>
    <w:rsid w:val="008F7686"/>
    <w:rsid w:val="00915D38"/>
    <w:rsid w:val="00927D46"/>
    <w:rsid w:val="00962C80"/>
    <w:rsid w:val="00967317"/>
    <w:rsid w:val="0099377A"/>
    <w:rsid w:val="00994084"/>
    <w:rsid w:val="009B669F"/>
    <w:rsid w:val="009C77B0"/>
    <w:rsid w:val="009D21B3"/>
    <w:rsid w:val="009D5F04"/>
    <w:rsid w:val="009F112C"/>
    <w:rsid w:val="009F1FB4"/>
    <w:rsid w:val="00A05072"/>
    <w:rsid w:val="00A105A0"/>
    <w:rsid w:val="00A16E11"/>
    <w:rsid w:val="00A3072F"/>
    <w:rsid w:val="00A30C55"/>
    <w:rsid w:val="00A457F0"/>
    <w:rsid w:val="00A50B9D"/>
    <w:rsid w:val="00A6685F"/>
    <w:rsid w:val="00A66DEE"/>
    <w:rsid w:val="00A704B1"/>
    <w:rsid w:val="00A92122"/>
    <w:rsid w:val="00A94D33"/>
    <w:rsid w:val="00A97E78"/>
    <w:rsid w:val="00AA2389"/>
    <w:rsid w:val="00AC0770"/>
    <w:rsid w:val="00AC4367"/>
    <w:rsid w:val="00AC44D9"/>
    <w:rsid w:val="00AE7258"/>
    <w:rsid w:val="00B0346E"/>
    <w:rsid w:val="00B05618"/>
    <w:rsid w:val="00B11C45"/>
    <w:rsid w:val="00B225DB"/>
    <w:rsid w:val="00B22963"/>
    <w:rsid w:val="00B36FAD"/>
    <w:rsid w:val="00B3739E"/>
    <w:rsid w:val="00B407EE"/>
    <w:rsid w:val="00B51E40"/>
    <w:rsid w:val="00B5785C"/>
    <w:rsid w:val="00B635C5"/>
    <w:rsid w:val="00B7062E"/>
    <w:rsid w:val="00B75C19"/>
    <w:rsid w:val="00B760D6"/>
    <w:rsid w:val="00B77331"/>
    <w:rsid w:val="00B809EE"/>
    <w:rsid w:val="00B83164"/>
    <w:rsid w:val="00B84333"/>
    <w:rsid w:val="00B9756B"/>
    <w:rsid w:val="00B97F04"/>
    <w:rsid w:val="00BA3322"/>
    <w:rsid w:val="00BA57E7"/>
    <w:rsid w:val="00BB10B5"/>
    <w:rsid w:val="00BB43D8"/>
    <w:rsid w:val="00BB4640"/>
    <w:rsid w:val="00BC30A2"/>
    <w:rsid w:val="00BC4F1F"/>
    <w:rsid w:val="00BC7904"/>
    <w:rsid w:val="00BD0A13"/>
    <w:rsid w:val="00C10497"/>
    <w:rsid w:val="00C1574D"/>
    <w:rsid w:val="00C32665"/>
    <w:rsid w:val="00C46906"/>
    <w:rsid w:val="00C60458"/>
    <w:rsid w:val="00C61613"/>
    <w:rsid w:val="00C657CD"/>
    <w:rsid w:val="00C677C5"/>
    <w:rsid w:val="00C74FB8"/>
    <w:rsid w:val="00C75DEC"/>
    <w:rsid w:val="00C84A2D"/>
    <w:rsid w:val="00C91970"/>
    <w:rsid w:val="00CA0F08"/>
    <w:rsid w:val="00CA12C8"/>
    <w:rsid w:val="00CA7D0E"/>
    <w:rsid w:val="00CB2E50"/>
    <w:rsid w:val="00CC53A9"/>
    <w:rsid w:val="00CD2355"/>
    <w:rsid w:val="00CD57BD"/>
    <w:rsid w:val="00D04B22"/>
    <w:rsid w:val="00D12B43"/>
    <w:rsid w:val="00D27DBF"/>
    <w:rsid w:val="00D33930"/>
    <w:rsid w:val="00D37A7D"/>
    <w:rsid w:val="00D9287F"/>
    <w:rsid w:val="00DD216E"/>
    <w:rsid w:val="00DD29EC"/>
    <w:rsid w:val="00DD32F6"/>
    <w:rsid w:val="00DE2390"/>
    <w:rsid w:val="00DE7388"/>
    <w:rsid w:val="00E078B7"/>
    <w:rsid w:val="00E13B39"/>
    <w:rsid w:val="00E170AC"/>
    <w:rsid w:val="00E23085"/>
    <w:rsid w:val="00E2410A"/>
    <w:rsid w:val="00E32350"/>
    <w:rsid w:val="00E42A6D"/>
    <w:rsid w:val="00E46513"/>
    <w:rsid w:val="00E52EDD"/>
    <w:rsid w:val="00E62CF5"/>
    <w:rsid w:val="00E7623A"/>
    <w:rsid w:val="00E77D1B"/>
    <w:rsid w:val="00E813B8"/>
    <w:rsid w:val="00E86263"/>
    <w:rsid w:val="00E91A2D"/>
    <w:rsid w:val="00E9595B"/>
    <w:rsid w:val="00E95F14"/>
    <w:rsid w:val="00EA2946"/>
    <w:rsid w:val="00EA5AF9"/>
    <w:rsid w:val="00EC6D90"/>
    <w:rsid w:val="00ED112E"/>
    <w:rsid w:val="00ED1D77"/>
    <w:rsid w:val="00ED40B7"/>
    <w:rsid w:val="00ED5D0B"/>
    <w:rsid w:val="00EE7455"/>
    <w:rsid w:val="00EF0267"/>
    <w:rsid w:val="00F04BF9"/>
    <w:rsid w:val="00F17D2B"/>
    <w:rsid w:val="00F401F4"/>
    <w:rsid w:val="00F724CC"/>
    <w:rsid w:val="00F85472"/>
    <w:rsid w:val="00F96195"/>
    <w:rsid w:val="00FA0443"/>
    <w:rsid w:val="00FA11C8"/>
    <w:rsid w:val="00FA7C5B"/>
    <w:rsid w:val="00FE0120"/>
    <w:rsid w:val="00FE2D71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48D0"/>
  <w15:chartTrackingRefBased/>
  <w15:docId w15:val="{8093E2F9-C656-46FF-A244-BB145FB9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574"/>
    <w:pPr>
      <w:spacing w:line="360" w:lineRule="auto"/>
      <w:jc w:val="both"/>
    </w:pPr>
    <w:rPr>
      <w:rFonts w:ascii="Verdana" w:eastAsiaTheme="minorEastAsia" w:hAnsi="Verdana"/>
      <w:lang w:val="bs-Latn-BA" w:eastAsia="bs-Latn-BA"/>
    </w:rPr>
  </w:style>
  <w:style w:type="paragraph" w:styleId="Naslov1">
    <w:name w:val="heading 1"/>
    <w:basedOn w:val="Normal"/>
    <w:next w:val="Normal"/>
    <w:link w:val="Naslov1Char"/>
    <w:uiPriority w:val="9"/>
    <w:qFormat/>
    <w:rsid w:val="00D04B2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04B2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tekstUML">
    <w:name w:val="tekstUML"/>
    <w:basedOn w:val="Normal"/>
    <w:link w:val="tekstUMLChar"/>
    <w:qFormat/>
    <w:rsid w:val="00967317"/>
    <w:pPr>
      <w:autoSpaceDE w:val="0"/>
      <w:autoSpaceDN w:val="0"/>
      <w:adjustRightInd w:val="0"/>
      <w:spacing w:after="0"/>
    </w:pPr>
    <w:rPr>
      <w:rFonts w:ascii="Consolas" w:hAnsi="Consolas" w:cs="Verdana"/>
      <w:color w:val="000000"/>
      <w:sz w:val="24"/>
      <w:szCs w:val="20"/>
      <w:lang w:val="hr-BA"/>
    </w:rPr>
  </w:style>
  <w:style w:type="character" w:customStyle="1" w:styleId="tekstUMLChar">
    <w:name w:val="tekstUML Char"/>
    <w:basedOn w:val="Zadanifontodlomka"/>
    <w:link w:val="tekstUML"/>
    <w:rsid w:val="00967317"/>
    <w:rPr>
      <w:rFonts w:ascii="Consolas" w:hAnsi="Consolas" w:cs="Verdana"/>
      <w:color w:val="000000"/>
      <w:sz w:val="24"/>
      <w:szCs w:val="20"/>
    </w:rPr>
  </w:style>
  <w:style w:type="paragraph" w:styleId="Zaglavlje">
    <w:name w:val="header"/>
    <w:basedOn w:val="Normal"/>
    <w:link w:val="ZaglavljeChar"/>
    <w:uiPriority w:val="99"/>
    <w:unhideWhenUsed/>
    <w:rsid w:val="00A45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457F0"/>
    <w:rPr>
      <w:rFonts w:eastAsiaTheme="minorEastAsia"/>
      <w:lang w:val="bs-Latn-BA" w:eastAsia="bs-Latn-BA"/>
    </w:rPr>
  </w:style>
  <w:style w:type="paragraph" w:styleId="Podnoje">
    <w:name w:val="footer"/>
    <w:basedOn w:val="Normal"/>
    <w:link w:val="PodnojeChar"/>
    <w:uiPriority w:val="99"/>
    <w:unhideWhenUsed/>
    <w:rsid w:val="00A45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457F0"/>
    <w:rPr>
      <w:rFonts w:eastAsiaTheme="minorEastAsia"/>
      <w:lang w:val="bs-Latn-BA" w:eastAsia="bs-Latn-BA"/>
    </w:rPr>
  </w:style>
  <w:style w:type="character" w:customStyle="1" w:styleId="Naslov1Char">
    <w:name w:val="Naslov 1 Char"/>
    <w:basedOn w:val="Zadanifontodlomka"/>
    <w:link w:val="Naslov1"/>
    <w:uiPriority w:val="9"/>
    <w:rsid w:val="00D04B22"/>
    <w:rPr>
      <w:rFonts w:ascii="Verdana" w:eastAsiaTheme="majorEastAsia" w:hAnsi="Verdana" w:cstheme="majorBidi"/>
      <w:b/>
      <w:color w:val="1F3864" w:themeColor="accent1" w:themeShade="80"/>
      <w:sz w:val="28"/>
      <w:szCs w:val="28"/>
      <w:lang w:val="bs-Latn-BA" w:eastAsia="bs-Latn-BA"/>
    </w:rPr>
  </w:style>
  <w:style w:type="character" w:styleId="Hiperveza">
    <w:name w:val="Hyperlink"/>
    <w:basedOn w:val="Zadanifontodlomka"/>
    <w:uiPriority w:val="99"/>
    <w:unhideWhenUsed/>
    <w:rsid w:val="0048007D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8007D"/>
    <w:rPr>
      <w:color w:val="605E5C"/>
      <w:shd w:val="clear" w:color="auto" w:fill="E1DFDD"/>
    </w:rPr>
  </w:style>
  <w:style w:type="paragraph" w:customStyle="1" w:styleId="NaslovnaStrana">
    <w:name w:val="NaslovnaStrana"/>
    <w:basedOn w:val="Normal"/>
    <w:link w:val="NaslovnaStranaChar"/>
    <w:qFormat/>
    <w:rsid w:val="00167574"/>
    <w:pPr>
      <w:spacing w:after="0" w:line="300" w:lineRule="auto"/>
    </w:pPr>
    <w:rPr>
      <w:rFonts w:eastAsia="Verdana" w:cs="Verdana"/>
    </w:rPr>
  </w:style>
  <w:style w:type="character" w:customStyle="1" w:styleId="a-size-extra-large">
    <w:name w:val="a-size-extra-large"/>
    <w:basedOn w:val="Zadanifontodlomka"/>
    <w:rsid w:val="00E813B8"/>
  </w:style>
  <w:style w:type="character" w:customStyle="1" w:styleId="NaslovnaStranaChar">
    <w:name w:val="NaslovnaStrana Char"/>
    <w:basedOn w:val="Zadanifontodlomka"/>
    <w:link w:val="NaslovnaStrana"/>
    <w:rsid w:val="00167574"/>
    <w:rPr>
      <w:rFonts w:ascii="Verdana" w:eastAsia="Verdana" w:hAnsi="Verdana" w:cs="Verdana"/>
      <w:lang w:val="bs-Latn-BA" w:eastAsia="bs-Latn-BA"/>
    </w:rPr>
  </w:style>
  <w:style w:type="paragraph" w:customStyle="1" w:styleId="tekst">
    <w:name w:val="tekst"/>
    <w:basedOn w:val="Normal"/>
    <w:link w:val="tekstChar"/>
    <w:qFormat/>
    <w:rsid w:val="00E813B8"/>
  </w:style>
  <w:style w:type="paragraph" w:styleId="Tekstfusnote">
    <w:name w:val="footnote text"/>
    <w:basedOn w:val="Normal"/>
    <w:link w:val="TekstfusnoteChar"/>
    <w:uiPriority w:val="99"/>
    <w:semiHidden/>
    <w:unhideWhenUsed/>
    <w:rsid w:val="00685EB4"/>
    <w:pPr>
      <w:spacing w:after="0" w:line="240" w:lineRule="auto"/>
    </w:pPr>
    <w:rPr>
      <w:sz w:val="20"/>
      <w:szCs w:val="20"/>
    </w:rPr>
  </w:style>
  <w:style w:type="character" w:customStyle="1" w:styleId="tekstChar">
    <w:name w:val="tekst Char"/>
    <w:basedOn w:val="Zadanifontodlomka"/>
    <w:link w:val="tekst"/>
    <w:rsid w:val="00E813B8"/>
    <w:rPr>
      <w:rFonts w:ascii="Verdana" w:eastAsiaTheme="minorEastAsia" w:hAnsi="Verdana"/>
      <w:lang w:val="bs-Latn-BA" w:eastAsia="bs-Latn-BA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685EB4"/>
    <w:rPr>
      <w:rFonts w:ascii="Verdana" w:eastAsiaTheme="minorEastAsia" w:hAnsi="Verdana"/>
      <w:sz w:val="20"/>
      <w:szCs w:val="20"/>
      <w:lang w:val="bs-Latn-BA" w:eastAsia="bs-Latn-BA"/>
    </w:rPr>
  </w:style>
  <w:style w:type="character" w:styleId="Referencafusnote">
    <w:name w:val="footnote reference"/>
    <w:basedOn w:val="Zadanifontodlomka"/>
    <w:uiPriority w:val="99"/>
    <w:semiHidden/>
    <w:unhideWhenUsed/>
    <w:rsid w:val="00685EB4"/>
    <w:rPr>
      <w:vertAlign w:val="superscript"/>
    </w:rPr>
  </w:style>
  <w:style w:type="character" w:styleId="Istaknuto">
    <w:name w:val="Emphasis"/>
    <w:basedOn w:val="Zadanifontodlomka"/>
    <w:uiPriority w:val="20"/>
    <w:qFormat/>
    <w:rsid w:val="0075396F"/>
    <w:rPr>
      <w:i/>
      <w:iCs/>
    </w:rPr>
  </w:style>
  <w:style w:type="paragraph" w:styleId="Opisslike">
    <w:name w:val="caption"/>
    <w:basedOn w:val="Normal"/>
    <w:next w:val="Normal"/>
    <w:uiPriority w:val="35"/>
    <w:unhideWhenUsed/>
    <w:qFormat/>
    <w:rsid w:val="008C17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eetkatablice">
    <w:name w:val="Table Grid"/>
    <w:basedOn w:val="Obinatablica"/>
    <w:uiPriority w:val="39"/>
    <w:rsid w:val="008D7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856267"/>
    <w:pPr>
      <w:ind w:left="720"/>
      <w:contextualSpacing/>
    </w:pPr>
  </w:style>
  <w:style w:type="paragraph" w:styleId="Naslov">
    <w:name w:val="Title"/>
    <w:basedOn w:val="Normal"/>
    <w:next w:val="Normal"/>
    <w:link w:val="NaslovChar"/>
    <w:uiPriority w:val="10"/>
    <w:qFormat/>
    <w:rsid w:val="00640EC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40EC6"/>
    <w:rPr>
      <w:rFonts w:ascii="Verdana" w:eastAsiaTheme="majorEastAsia" w:hAnsi="Verdana" w:cstheme="majorBidi"/>
      <w:spacing w:val="-10"/>
      <w:kern w:val="28"/>
      <w:sz w:val="56"/>
      <w:szCs w:val="56"/>
      <w:lang w:val="bs-Latn-BA" w:eastAsia="bs-Latn-BA"/>
    </w:rPr>
  </w:style>
  <w:style w:type="character" w:customStyle="1" w:styleId="Naslov2Char">
    <w:name w:val="Naslov 2 Char"/>
    <w:basedOn w:val="Zadanifontodlomka"/>
    <w:link w:val="Naslov2"/>
    <w:uiPriority w:val="9"/>
    <w:rsid w:val="00D04B22"/>
    <w:rPr>
      <w:rFonts w:ascii="Verdana" w:eastAsiaTheme="majorEastAsia" w:hAnsi="Verdana" w:cstheme="majorBidi"/>
      <w:color w:val="2F5496" w:themeColor="accent1" w:themeShade="BF"/>
      <w:sz w:val="26"/>
      <w:szCs w:val="26"/>
      <w:lang w:val="bs-Latn-BA" w:eastAsia="bs-Latn-BA"/>
    </w:rPr>
  </w:style>
  <w:style w:type="character" w:customStyle="1" w:styleId="ls1b">
    <w:name w:val="ls1b"/>
    <w:basedOn w:val="Zadanifontodlomka"/>
    <w:rsid w:val="00B05618"/>
  </w:style>
  <w:style w:type="character" w:customStyle="1" w:styleId="ff5">
    <w:name w:val="ff5"/>
    <w:basedOn w:val="Zadanifontodlomka"/>
    <w:rsid w:val="00B05618"/>
  </w:style>
  <w:style w:type="character" w:customStyle="1" w:styleId="ls0">
    <w:name w:val="ls0"/>
    <w:basedOn w:val="Zadanifontodlomka"/>
    <w:rsid w:val="00B05618"/>
  </w:style>
  <w:style w:type="character" w:customStyle="1" w:styleId="ls1c">
    <w:name w:val="ls1c"/>
    <w:basedOn w:val="Zadanifontodlomka"/>
    <w:rsid w:val="00B05618"/>
  </w:style>
  <w:style w:type="character" w:customStyle="1" w:styleId="ls1a">
    <w:name w:val="ls1a"/>
    <w:basedOn w:val="Zadanifontodlomka"/>
    <w:rsid w:val="00B05618"/>
  </w:style>
  <w:style w:type="paragraph" w:styleId="StandardWeb">
    <w:name w:val="Normal (Web)"/>
    <w:basedOn w:val="Normal"/>
    <w:uiPriority w:val="99"/>
    <w:semiHidden/>
    <w:unhideWhenUsed/>
    <w:rsid w:val="000770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hr-BA" w:eastAsia="hr-BA"/>
    </w:rPr>
  </w:style>
  <w:style w:type="paragraph" w:customStyle="1" w:styleId="Default">
    <w:name w:val="Default"/>
    <w:rsid w:val="008F768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OCNaslov">
    <w:name w:val="TOC Heading"/>
    <w:basedOn w:val="Naslov1"/>
    <w:next w:val="Normal"/>
    <w:uiPriority w:val="39"/>
    <w:unhideWhenUsed/>
    <w:qFormat/>
    <w:rsid w:val="003A48C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n-US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3A48C4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3A48C4"/>
    <w:pPr>
      <w:spacing w:after="100"/>
      <w:ind w:left="220"/>
    </w:pPr>
  </w:style>
  <w:style w:type="paragraph" w:styleId="Tablicaslika">
    <w:name w:val="table of figures"/>
    <w:basedOn w:val="Normal"/>
    <w:next w:val="Normal"/>
    <w:uiPriority w:val="99"/>
    <w:unhideWhenUsed/>
    <w:rsid w:val="003A48C4"/>
    <w:pPr>
      <w:spacing w:after="0"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672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72D3C"/>
    <w:rPr>
      <w:rFonts w:ascii="Segoe UI" w:eastAsiaTheme="minorEastAsia" w:hAnsi="Segoe UI" w:cs="Segoe UI"/>
      <w:sz w:val="18"/>
      <w:szCs w:val="18"/>
      <w:lang w:val="bs-Latn-BA" w:eastAsia="bs-Latn-BA"/>
    </w:r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205357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205357"/>
    <w:rPr>
      <w:rFonts w:ascii="Verdana" w:eastAsiaTheme="minorEastAsia" w:hAnsi="Verdana"/>
      <w:sz w:val="20"/>
      <w:szCs w:val="20"/>
      <w:lang w:val="bs-Latn-BA" w:eastAsia="bs-Latn-BA"/>
    </w:rPr>
  </w:style>
  <w:style w:type="character" w:styleId="Referencakrajnjebiljeke">
    <w:name w:val="endnote reference"/>
    <w:basedOn w:val="Zadanifontodlomka"/>
    <w:uiPriority w:val="99"/>
    <w:semiHidden/>
    <w:unhideWhenUsed/>
    <w:rsid w:val="002053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ncbi.nlm.nih.gov/pmc/articles/PMC512661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emf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www.who.int/news-room/fact-sheets/detail/obesity-and-overweight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hyperlink" Target="https://www.who.int/dietphysicalactivity/childhood/en/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uroplakatbh.ba/" TargetMode="External"/><Relationship Id="rId2" Type="http://schemas.openxmlformats.org/officeDocument/2006/relationships/hyperlink" Target="http://www.sluzbenilist.ba/" TargetMode="External"/><Relationship Id="rId1" Type="http://schemas.openxmlformats.org/officeDocument/2006/relationships/hyperlink" Target="https://www.plata.b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a\Desktop\UP\seminarski\ZdravaHranaSkole\IsplativostProjek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BA"/>
              <a:t>Ušteđena sredstva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Sheet1!$H$3:$R$3</c:f>
              <c:numCache>
                <c:formatCode>General</c:formatCode>
                <c:ptCount val="11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  <c:pt idx="5">
                  <c:v>2025</c:v>
                </c:pt>
                <c:pt idx="6">
                  <c:v>2026</c:v>
                </c:pt>
                <c:pt idx="7">
                  <c:v>2027</c:v>
                </c:pt>
                <c:pt idx="8">
                  <c:v>2028</c:v>
                </c:pt>
                <c:pt idx="9">
                  <c:v>2029</c:v>
                </c:pt>
                <c:pt idx="10">
                  <c:v>2030</c:v>
                </c:pt>
              </c:numCache>
            </c:numRef>
          </c:cat>
          <c:val>
            <c:numRef>
              <c:f>Sheet1!$H$6:$R$6</c:f>
              <c:numCache>
                <c:formatCode>General</c:formatCode>
                <c:ptCount val="11"/>
                <c:pt idx="0">
                  <c:v>0</c:v>
                </c:pt>
                <c:pt idx="1">
                  <c:v>12000</c:v>
                </c:pt>
                <c:pt idx="2">
                  <c:v>24000</c:v>
                </c:pt>
                <c:pt idx="3">
                  <c:v>36000</c:v>
                </c:pt>
                <c:pt idx="4">
                  <c:v>48000</c:v>
                </c:pt>
                <c:pt idx="5">
                  <c:v>60000</c:v>
                </c:pt>
                <c:pt idx="6">
                  <c:v>72000</c:v>
                </c:pt>
                <c:pt idx="7">
                  <c:v>84000</c:v>
                </c:pt>
                <c:pt idx="8">
                  <c:v>96000</c:v>
                </c:pt>
                <c:pt idx="9">
                  <c:v>108000</c:v>
                </c:pt>
                <c:pt idx="10">
                  <c:v>120000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AA-4969-8376-AB90A2FE05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0637464"/>
        <c:axId val="539604336"/>
      </c:lineChart>
      <c:catAx>
        <c:axId val="610637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39604336"/>
        <c:crosses val="autoZero"/>
        <c:auto val="1"/>
        <c:lblAlgn val="ctr"/>
        <c:lblOffset val="100"/>
        <c:noMultiLvlLbl val="0"/>
      </c:catAx>
      <c:valAx>
        <c:axId val="53960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BA"/>
                  <a:t>Iznos u tisućama</a:t>
                </a:r>
                <a:r>
                  <a:rPr lang="hr-BA" baseline="0"/>
                  <a:t> KM</a:t>
                </a:r>
                <a:endParaRPr lang="hr-B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#,##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610637464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BDC66-61E2-425E-A3B8-1DCA4405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12508</TotalTime>
  <Pages>22</Pages>
  <Words>3333</Words>
  <Characters>18999</Characters>
  <Application>Microsoft Office Word</Application>
  <DocSecurity>0</DocSecurity>
  <Lines>158</Lines>
  <Paragraphs>44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Sunjic</dc:creator>
  <cp:keywords/>
  <dc:description/>
  <cp:lastModifiedBy>Anja Šunjić</cp:lastModifiedBy>
  <cp:revision>19</cp:revision>
  <dcterms:created xsi:type="dcterms:W3CDTF">2019-11-14T19:38:00Z</dcterms:created>
  <dcterms:modified xsi:type="dcterms:W3CDTF">2020-01-08T08:51:00Z</dcterms:modified>
</cp:coreProperties>
</file>