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PEDIATRIC CME PROTOCOL FOR FEMALE CHILDREN</w:t>
      </w:r>
    </w:p>
    <w:p>
      <w:pPr>
        <w:jc w:val="center"/>
      </w:pPr>
      <w:r>
        <w:t>Research Summary — December 31, 2025</w:t>
      </w:r>
    </w:p>
    <w:p/>
    <w:p>
      <w:pPr>
        <w:pStyle w:val="Heading1"/>
      </w:pPr>
      <w:r>
        <w:t>I. EXAMINATION PROTOCOL</w:t>
      </w:r>
    </w:p>
    <w:p>
      <w:r>
        <w:rPr>
          <w:b/>
        </w:rPr>
        <w:t>For prepubertal female children, NON-INVASIVE methods are the standard of care.</w:t>
      </w:r>
    </w:p>
    <w:p>
      <w:r>
        <w:t>• Medical History: Non-leading questions, suspected abuser NOT present</w:t>
      </w:r>
    </w:p>
    <w:p>
      <w:r>
        <w:t>• Physical Exam: Full-body inspection, all findings photographed</w:t>
      </w:r>
    </w:p>
    <w:p>
      <w:r>
        <w:t>• Anogenital Exam: EXTERNAL inspection only. NO speculum. NO internal swabs unless acute trauma</w:t>
      </w:r>
    </w:p>
    <w:p>
      <w:r>
        <w:t>• STI Testing: External swab or urine sample (NAAT method)</w:t>
      </w:r>
    </w:p>
    <w:p>
      <w:r>
        <w:t>• Consent: Parental consent MANDATORY</w:t>
      </w:r>
    </w:p>
    <w:p>
      <w:pPr>
        <w:pStyle w:val="Heading1"/>
      </w:pPr>
      <w:r>
        <w:t>II. FEMALE TODDLER EXAM PROCEDURE</w:t>
      </w:r>
    </w:p>
    <w:p>
      <w:r>
        <w:t>• Position: "Frog-leg" position on caregiver lap or exam table</w:t>
      </w:r>
    </w:p>
    <w:p>
      <w:r>
        <w:t>• External Inspection: Visual exam of labia, clitoris, urethra, hymen, perianal area</w:t>
      </w:r>
    </w:p>
    <w:p>
      <w:r>
        <w:t>• Labial Separation: Gentle technique - NO instruments inserted</w:t>
      </w:r>
    </w:p>
    <w:p>
      <w:r>
        <w:t>• Hymen: External observation ONLY</w:t>
      </w:r>
    </w:p>
    <w:p>
      <w:r>
        <w:t>• Specimens: External swabs of vulva/perineum ONLY - NO internal vaginal swabs for prepubertal children</w:t>
      </w:r>
    </w:p>
    <w:p>
      <w:pPr>
        <w:pStyle w:val="Heading1"/>
      </w:pPr>
      <w:r>
        <w:t>III. INVASIVE METHODS - RARELY INDICATED</w:t>
      </w:r>
    </w:p>
    <w:p>
      <w:r>
        <w:rPr>
          <w:b/>
        </w:rPr>
        <w:t xml:space="preserve">Internal examination reserved ONLY for: </w:t>
      </w:r>
    </w:p>
    <w:p>
      <w:r>
        <w:t>• Acute genital trauma with active bleeding</w:t>
      </w:r>
    </w:p>
    <w:p>
      <w:r>
        <w:t>• Suspected foreign body</w:t>
      </w:r>
    </w:p>
    <w:p>
      <w:r>
        <w:t>• Visible internal injury</w:t>
      </w:r>
    </w:p>
    <w:p>
      <w:pPr>
        <w:pStyle w:val="Heading1"/>
      </w:pPr>
      <w:r>
        <w:t>IV. HYMEN FINDINGS</w:t>
      </w:r>
    </w:p>
    <w:p>
      <w:r>
        <w:t>• 95%+ of abuse cases show NORMAL exam findings</w:t>
      </w:r>
    </w:p>
    <w:p>
      <w:r>
        <w:t>• Hymen is elastic - can stretch without tearing</w:t>
      </w:r>
    </w:p>
    <w:p>
      <w:r>
        <w:t>• "Hymen intact" = NO EVIDENCE OF PENETRATION TRAUMA</w:t>
      </w:r>
    </w:p>
    <w:p>
      <w:r>
        <w:t>• Rapid healing (24-72 hrs) means injuries may not be visible later</w:t>
      </w:r>
    </w:p>
    <w:p>
      <w:pPr>
        <w:pStyle w:val="Heading1"/>
      </w:pPr>
      <w:r>
        <w:t>V. TIMING</w:t>
      </w:r>
    </w:p>
    <w:p>
      <w:r>
        <w:t>Optimal evidence window: 72-96 hours. After this, evidentiary yield drops significantly.</w:t>
      </w:r>
    </w:p>
    <w:p>
      <w:pPr>
        <w:pStyle w:val="Heading1"/>
      </w:pPr>
      <w:r>
        <w:t>VI. CITATIONS</w:t>
      </w:r>
    </w:p>
    <w:p>
      <w:r>
        <w:t>[1] Adams, J.A., et al. "Interpretation of Medical Findings in Suspected Child Sexual Abuse." JPAG</w:t>
      </w:r>
    </w:p>
    <w:p>
      <w:r>
        <w:t>[2] U.S. DOJ "National Protocol for Pediatric Sexual Assault Forensic Examinations" (2016)</w:t>
      </w:r>
    </w:p>
    <w:p>
      <w:r>
        <w:t>[3] AAP "The Evaluation of Sexual Abuse in Children" - Pediatrics</w:t>
      </w:r>
    </w:p>
    <w:p>
      <w:r>
        <w:t>[4] CDC "STI Treatment Guidelines: Sexual Assault in Children" (2021)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