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4532D"/>
          <w:sz w:val="28"/>
        </w:rPr>
        <w:t>SRI LANKA INSTITUTE OF INFORMATION TECHNOLOGY</w:t>
        <w:br/>
        <w:t>FACULTY OF COMPUTING</w:t>
        <w:br/>
      </w:r>
    </w:p>
    <w:p>
      <w:pPr>
        <w:spacing w:before="1000" w:after="400"/>
        <w:jc w:val="center"/>
      </w:pPr>
      <w:r>
        <w:rPr>
          <w:b/>
          <w:color w:val="166534"/>
          <w:sz w:val="44"/>
        </w:rPr>
        <w:t>A Weather Based Vegetable Price and Crop Decision Support Management Information System for Sri Lanka</w:t>
      </w:r>
    </w:p>
    <w:p>
      <w:pPr>
        <w:spacing w:after="1200"/>
        <w:jc w:val="center"/>
      </w:pPr>
      <w:r>
        <w:rPr>
          <w:i/>
          <w:color w:val="4B5563"/>
          <w:sz w:val="24"/>
        </w:rPr>
        <w:t>Final Year Research Project Report Submitted in Partial Fulfillment of the Requirements for the Degree of Bachelor of Science (Honours) in Information Technology</w:t>
      </w:r>
    </w:p>
    <w:p>
      <w:pPr>
        <w:spacing w:before="1600"/>
        <w:jc w:val="center"/>
      </w:pPr>
      <w:r>
        <w:rPr>
          <w:b/>
          <w:color w:val="374151"/>
          <w:sz w:val="22"/>
        </w:rPr>
        <w:t>Author: Anjalee Navodya</w:t>
        <w:br/>
        <w:t>Specialization: Management Information Systems</w:t>
        <w:br/>
        <w:t>Supervisor: Ms. Dulanjali Wijesekara</w:t>
        <w:br/>
        <w:t>Academic Year: 2025 - 2026</w:t>
        <w:br/>
        <w:t>Date of Submission: September 2026</w:t>
      </w:r>
    </w:p>
    <w:p>
      <w:r>
        <w:br w:type="page"/>
      </w:r>
    </w:p>
    <w:p>
      <w:pPr>
        <w:pStyle w:val="Heading1"/>
        <w:spacing w:before="240"/>
      </w:pPr>
      <w:r>
        <w:t>Executive Summary</w:t>
      </w:r>
    </w:p>
    <w:p>
      <w:r>
        <w:t>Vegetable farming in Sri Lanka is heavily affected by unpredictable monsoon rains, extreme dry spells, and sudden price drops. Smallholder farmers in major vegetable-growing regions like Badulla and Welimada often suffer severe financial losses because they have to sell their harvest at rock-bottom prices when the market gets flooded. Although state agencies like the Hector Kobbekaduwa Agrarian Research and Training Institute (HARTI) collect daily market prices, this information only shows past and present conditions. Farmers do not have forward-looking decision support tools that tell them what prices to expect when their crops mature two to four months down the line.</w:t>
      </w:r>
    </w:p>
    <w:p>
      <w:r>
        <w:t>This research develops an intelligent, end-to-end Management Information System (Agri-MIS) that connects daily weather patterns with wholesale and farmgate vegetable prices to guide crop selection. The system brings together three rich data sources: 25 years of monthly vegetable price records (2000 to 2025) for 9 key commercial crops, 15 years of daily meteorological records from 27 national weather stations, and an empirical field survey of vegetable farmers in Badulla and Welimada. Using this data, a Bidirectional Long Short-Term Memory (BiLSTM) sequence deep learning model with crop entity embeddings and temporal attention was developed in PyTorch. The model predicts forward-looking farmgate prices across 1 to 12 month horizons and adjusts for annual market inflation.</w:t>
      </w:r>
    </w:p>
    <w:p>
      <w:r>
        <w:t>Alongside price forecasting, a rule-based crop recommendation engine was built using Department of Agriculture agronomic benchmarks. The engine calculates estimated cultivation costs, projected yields, gross revenues, and net profit margins per acre for each crop while testing whether expected rainfall and temperatures match crop tolerances. All analytical models are presented through a clean, interactive Streamlit web dashboard. Evaluation results show an overall Mean Absolute Error (MAE) of LKR 55.15 per kg and a Mean Absolute Percentage Error (MAPE) of 21.30%. Usability tests with local smallholders confirm that the dashboard helps farmers move away from blind guesswork toward data-backed crop planning.</w:t>
      </w:r>
    </w:p>
    <w:p>
      <w:r>
        <w:br w:type="page"/>
      </w:r>
    </w:p>
    <w:p>
      <w:pPr>
        <w:pStyle w:val="Heading1"/>
      </w:pPr>
      <w:r>
        <w:t>Chapter 1: Introduction</w:t>
      </w:r>
    </w:p>
    <w:p>
      <w:pPr>
        <w:pStyle w:val="Heading2"/>
      </w:pPr>
      <w:r>
        <w:t>1.1 Chapter Overview</w:t>
      </w:r>
    </w:p>
    <w:p>
      <w:r>
        <w:t>This chapter introduces the research project titled 'A Weather Based Vegetable Price and Crop Decision Support Management Information System for Sri Lanka'. It describes the real-world agricultural problems faced by smallholder farmers who cultivate vegetables in upcountry and midcountry farming areas. The chapter outlines the general and specific problem statements, explains the research motivation, and defines the primary aim and objectives. It also presents a rich picture diagram of the proposed solution, details the hardware and software resources required, provides a project scope table, and summarizes the structure of the remaining chapters.</w:t>
      </w:r>
    </w:p>
    <w:p>
      <w:pPr>
        <w:pStyle w:val="Heading2"/>
      </w:pPr>
      <w:r>
        <w:t>1.2 Problem Background</w:t>
      </w:r>
    </w:p>
    <w:p>
      <w:r>
        <w:t>Agriculture is a vital foundation of Sri Lanka's rural economy. It provides direct employment to nearly thirty percent of the national workforce and supplies fresh food to urban consumption centers. Unlike tea, rubber, or coconut plantations, commercial vegetable farming is dominated by smallholder farmers who work on plots of land that are usually smaller than two acres. These smallholders carry out intensive cultivation of seasonal vegetables such as carrots, beans, cabbages, leeks, tomatoes, pumpkins, and green chillies.</w:t>
      </w:r>
    </w:p>
    <w:p>
      <w:r>
        <w:t>In recent years, vegetable prices in Sri Lanka have shown severe instability. During late 2024 and early 2025, consumer retail prices for basic vegetables like carrots and beans surged to historic highs exceeding LKR 1,500 per kilogram in Colombo retail markets. This price spike was triggered by unseasonal heavy rains and mudslides in Nuwara Eliya and Badulla that damaged standing crops and cut off transport routes. However, only three months later, good weather led to simultaneous nationwide harvests. The resulting oversupply flooded dedicated economic centers such as Dambulla, Pettah, and Keppetipola. Wholesale prices dropped below LKR 80 per kilogram, forcing some farmers to leave their produce rotting in the fields because wholesale prices could not even cover transport costs.</w:t>
      </w:r>
    </w:p>
    <w:p>
      <w:r>
        <w:t>Government institutes like HARTI and the Department of Agriculture publish daily market price bulletins. Private telecommunication initiatives, such as the Govi Mithuru mobile service, offer weather alerts and cultivation tips. However, these systems are fundamentally backward-looking or descriptive. They tell farmers what price a carrot fetched yesterday at Pettah market, but they do not tell a farmer in Welimada what a carrot will likely fetch three months later when it is harvested. Because smallholders lack forward-looking guidance, they follow market rumors and plant whatever vegetable is currently expensive. This herd behavior leads to a recurring cycle of overproduction, price collapse, and debt.</w:t>
      </w:r>
    </w:p>
    <w:p>
      <w:pPr>
        <w:pStyle w:val="Heading2"/>
      </w:pPr>
      <w:r>
        <w:t>1.3 Problem Statement</w:t>
      </w:r>
    </w:p>
    <w:p>
      <w:pPr>
        <w:pStyle w:val="Heading3"/>
      </w:pPr>
      <w:r>
        <w:t>1.3.1 General Problem</w:t>
      </w:r>
    </w:p>
    <w:p>
      <w:r>
        <w:t>Frequent climate variations and monsoon anomalies cause extreme instability in Sri Lankan vegetable production and farmgate prices. This instability harms both rural farming communities and everyday consumers. When prices collapse, farmers fall into debt, default on agricultural microloans, and reduce their planted acreage in the next season. When prices spike, lower-income urban families struggle to afford nutritious fresh vegetables, driving up food inflation and weakening national food security.</w:t>
      </w:r>
    </w:p>
    <w:p>
      <w:pPr>
        <w:pStyle w:val="Heading3"/>
      </w:pPr>
      <w:r>
        <w:t>1.3.2 Specific Problem</w:t>
      </w:r>
    </w:p>
    <w:p>
      <w:r>
        <w:t>Current agricultural information systems and decision support tools in Sri Lanka suffer from two critical limitations. First, weather monitoring and market price reporting operate in separate silos. No integrated platform combines multi-year meteorological measurements (rainfall, ambient temperature, humidity, sunshine hours, and evapotranspiration) with historical wholesale and farmgate price trends into predictive sequence models. Second, existing decision tools do not provide proactive planting guidance. Smallholders need a clear, easy-to-use digital system that looks at their planting month, geographic location, and land size, checks local climate suitability, and estimates expected harvest prices and net profit margins. Closing this research gap is essential to provide smallholder farmers with practical, forward-looking decision support.</w:t>
      </w:r>
    </w:p>
    <w:p>
      <w:pPr>
        <w:pStyle w:val="Heading2"/>
      </w:pPr>
      <w:r>
        <w:t>1.4 Research Question</w:t>
      </w:r>
    </w:p>
    <w:p>
      <w:r>
        <w:t>The primary research question guiding this study is: 'How can an integrated, weather-based Management Information System with an interactive web dashboard be designed and implemented to assist smallholder farmers in Sri Lanka with price forecasting and proactive crop planting decisions?'</w:t>
      </w:r>
    </w:p>
    <w:p>
      <w:r>
        <w:t>To answer this primary question, three sub-questions are investigated:</w:t>
      </w:r>
    </w:p>
    <w:p>
      <w:r>
        <w:t>1. Which meteorological variables and historical price spreads show the strongest relationships with seasonal vegetable price fluctuations in Sri Lanka?</w:t>
        <w:br/>
        <w:t>2. How accurately can modern deep sequence learning models, specifically Bidirectional LSTMs with attention, forecast multi-horizon vegetable prices across varying climate conditions?</w:t>
        <w:br/>
        <w:t>3. How can complex time-series price predictions and agronomic suitability rules be translated into an intuitive, accessible dashboard that rural smallholders can understand?</w:t>
      </w:r>
    </w:p>
    <w:p>
      <w:pPr>
        <w:pStyle w:val="Heading2"/>
      </w:pPr>
      <w:r>
        <w:t>1.5 Research Motivation</w:t>
      </w:r>
    </w:p>
    <w:p>
      <w:r>
        <w:t>The motivation for this study comes from personal observations and field visits to vegetable farming communities in the Badulla and Welimada districts of the Uva Province. Speaking with farmers who have spent twenty years cultivating vegetables revealed how vulnerable they remain to sudden market crashes. Many farmers expressed deep frustration that despite working hard, they frequently lose their savings simply because everyone planted the same crop at the same time after a good rain.</w:t>
      </w:r>
    </w:p>
    <w:p>
      <w:r>
        <w:t>As an undergraduate student specializing in Management Information Systems, I wanted to apply modern data science, deep learning, and user interface design to address this urgent social and economic problem. Building a practical system that combines climate records with agricultural pricing directly supports national goals for digital agriculture and climate resilience.</w:t>
      </w:r>
    </w:p>
    <w:p>
      <w:pPr>
        <w:pStyle w:val="Heading2"/>
      </w:pPr>
      <w:r>
        <w:t>1.6 Research Aim</w:t>
      </w:r>
    </w:p>
    <w:p>
      <w:r>
        <w:t>The main aim of this research is to design, develop, and evaluate an intelligent, weather-based Vegetable Price and Crop Decision Support Management Information System (Agri-MIS) featuring an interactive web dashboard that helps Sri Lankan smallholder farmers and extension officers make informed, profit-optimizing planting decisions.</w:t>
      </w:r>
    </w:p>
    <w:p>
      <w:pPr>
        <w:pStyle w:val="Heading2"/>
      </w:pPr>
      <w:r>
        <w:t>1.7 Research Objectives</w:t>
      </w:r>
    </w:p>
    <w:p>
      <w:r>
        <w:t>The research is organized around four specific objectives:</w:t>
      </w:r>
    </w:p>
    <w:p>
      <w:r>
        <w:t>1. To identify the key weather parameters (temperature, cumulative rainfall, rain days, sunshine hours, evapotranspiration) and market spread factors that influence the farmgate prices of 9 major commercial vegetables in Sri Lanka.</w:t>
        <w:br/>
        <w:t>2. To analyze 25 years of historical vegetable price data (2000 to 2025) and 15 years of meteorological records across 27 national weather stations to uncover seasonal patterns and climate correlations.</w:t>
        <w:br/>
        <w:t>3. To design and implement an end-to-end software artifact that combines an SQLite database, a PyTorch Bidirectional LSTM sequence prediction model with temporal attention, an agronomic recommendation engine, and an interactive Streamlit web dashboard.</w:t>
        <w:br/>
        <w:t>4. To evaluate the mathematical accuracy of the price forecasting models and assess the usability of the interactive dashboard through field testing with smallholder farmers and agricultural officers.</w:t>
      </w:r>
    </w:p>
    <w:p>
      <w:pPr>
        <w:pStyle w:val="Heading2"/>
      </w:pPr>
      <w:r>
        <w:t>1.8 Rich Picture of the Proposed Solution</w:t>
      </w:r>
    </w:p>
    <w:p>
      <w:r>
        <w:t>Figure 1.1 illustrates the rich picture diagram representing the real-world agricultural context, key stakeholder groups, external data sources, core system processes, and information outputs.</w:t>
      </w:r>
    </w:p>
    <w:p>
      <w:pPr>
        <w:spacing w:before="200" w:after="80"/>
        <w:jc w:val="center"/>
      </w:pPr>
      <w:r>
        <w:drawing>
          <wp:inline xmlns:a="http://schemas.openxmlformats.org/drawingml/2006/main" xmlns:pic="http://schemas.openxmlformats.org/drawingml/2006/picture">
            <wp:extent cx="5669280" cy="3287230"/>
            <wp:docPr id="1" name="Picture 1"/>
            <wp:cNvGraphicFramePr>
              <a:graphicFrameLocks noChangeAspect="1"/>
            </wp:cNvGraphicFramePr>
            <a:graphic>
              <a:graphicData uri="http://schemas.openxmlformats.org/drawingml/2006/picture">
                <pic:pic>
                  <pic:nvPicPr>
                    <pic:cNvPr id="0" name="rich_picture_diagram.png"/>
                    <pic:cNvPicPr/>
                  </pic:nvPicPr>
                  <pic:blipFill>
                    <a:blip r:embed="rId9"/>
                    <a:stretch>
                      <a:fillRect/>
                    </a:stretch>
                  </pic:blipFill>
                  <pic:spPr>
                    <a:xfrm>
                      <a:off x="0" y="0"/>
                      <a:ext cx="5669280" cy="3287230"/>
                    </a:xfrm>
                    <a:prstGeom prst="rect"/>
                  </pic:spPr>
                </pic:pic>
              </a:graphicData>
            </a:graphic>
          </wp:inline>
        </w:drawing>
      </w:r>
    </w:p>
    <w:p>
      <w:pPr>
        <w:spacing w:after="280"/>
        <w:jc w:val="center"/>
      </w:pPr>
      <w:r>
        <w:rPr>
          <w:rFonts w:ascii="Calibri" w:hAnsi="Calibri"/>
          <w:b/>
          <w:i/>
          <w:color w:val="4B5563"/>
          <w:sz w:val="19"/>
        </w:rPr>
        <w:t>Figure 1.1: Rich Picture of the Sri Lanka Agri-MIS Ecosystem</w:t>
      </w:r>
    </w:p>
    <w:p>
      <w:r>
        <w:t>As shown in Figure 1.1, the system acts as an intelligent bridge. Daily meteorological records from 27 Department of Meteorology stations are merged with historical price bulletins from HARTI and empirical survey data collected from smallholders in Badulla and Welimada. These data streams feed into an automated preprocessing pipeline that computes monthly aggregates, seasonal sine and cosine features, and intermediary price spreads, storing them in a normalized SQLite database. The analytical core uses a PyTorch deep sequence network to forecast future prices while applying compound inflation adjustments. Finally, the crop recommendation engine checks Department of Agriculture agronomic rules and presents clear recommendation cards to farmers and extension workers on the web dashboard.</w:t>
      </w:r>
    </w:p>
    <w:p>
      <w:pPr>
        <w:pStyle w:val="Heading2"/>
      </w:pPr>
      <w:r>
        <w:t>1.9 Resource Requirements</w:t>
      </w:r>
    </w:p>
    <w:p>
      <w:r>
        <w:t>Developing and deploying the system required standard hardware and open-source software tools. The hardware setup consisted of an Apple Silicon laptop with 16 GB of unified memory, which provided sufficient processing capability for deep learning sequence training without requiring expensive cloud GPU servers. The software stack is built entirely on open-source technologies: Python 3.9 as the primary programming language, PyTorch 2.8 for deep sequence modeling, Pandas and NumPy for numerical data processing, Scikit-learn for data scaling, SQLite for database storage, Plotly for dynamic charts, and Streamlit for web dashboard presentation.</w:t>
      </w:r>
    </w:p>
    <w:p>
      <w:pPr>
        <w:pStyle w:val="Heading2"/>
      </w:pPr>
      <w:r>
        <w:t>1.10 Project Scope</w:t>
      </w:r>
    </w:p>
    <w:p>
      <w:r>
        <w:t>To keep the research focused and manageable within the undergraduate timeframe, clear project boundaries were defined. Table 1.1 summarizes the scope boundaries established for this study.</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5803D"/>
            <w:tcMar>
              <w:top w:w="120" w:type="dxa"/>
              <w:bottom w:w="120" w:type="dxa"/>
              <w:left w:w="160" w:type="dxa"/>
              <w:right w:w="160" w:type="dxa"/>
            </w:tcMar>
          </w:tcPr>
          <w:p>
            <w:pPr>
              <w:jc w:val="center"/>
            </w:pPr>
            <w:r>
              <w:rPr>
                <w:rFonts w:ascii="Calibri" w:hAnsi="Calibri"/>
                <w:b/>
                <w:color w:val="FFFFFF"/>
                <w:sz w:val="19"/>
              </w:rPr>
              <w:t>Project Dimension</w:t>
            </w:r>
          </w:p>
        </w:tc>
        <w:tc>
          <w:tcPr>
            <w:tcW w:type="dxa" w:w="3888"/>
            <w:shd w:fill="15803D"/>
            <w:tcMar>
              <w:top w:w="120" w:type="dxa"/>
              <w:bottom w:w="120" w:type="dxa"/>
              <w:left w:w="160" w:type="dxa"/>
              <w:right w:w="160" w:type="dxa"/>
            </w:tcMar>
          </w:tcPr>
          <w:p>
            <w:pPr>
              <w:jc w:val="center"/>
            </w:pPr>
            <w:r>
              <w:rPr>
                <w:rFonts w:ascii="Calibri" w:hAnsi="Calibri"/>
                <w:b/>
                <w:color w:val="FFFFFF"/>
                <w:sz w:val="19"/>
              </w:rPr>
              <w:t>In Scope (Covered)</w:t>
            </w:r>
          </w:p>
        </w:tc>
        <w:tc>
          <w:tcPr>
            <w:tcW w:type="dxa" w:w="3312"/>
            <w:shd w:fill="15803D"/>
            <w:tcMar>
              <w:top w:w="120" w:type="dxa"/>
              <w:bottom w:w="120" w:type="dxa"/>
              <w:left w:w="160" w:type="dxa"/>
              <w:right w:w="160" w:type="dxa"/>
            </w:tcMar>
          </w:tcPr>
          <w:p>
            <w:pPr>
              <w:jc w:val="center"/>
            </w:pPr>
            <w:r>
              <w:rPr>
                <w:rFonts w:ascii="Calibri" w:hAnsi="Calibri"/>
                <w:b/>
                <w:color w:val="FFFFFF"/>
                <w:sz w:val="19"/>
              </w:rPr>
              <w:t>Out of Scope (Excluded)</w:t>
            </w:r>
          </w:p>
        </w:tc>
      </w:tr>
      <w:tr>
        <w:tc>
          <w:tcPr>
            <w:tcW w:type="dxa" w:w="2160"/>
            <w:shd w:fill="FFFFFF"/>
            <w:tcMar>
              <w:top w:w="90" w:type="dxa"/>
              <w:bottom w:w="90" w:type="dxa"/>
              <w:left w:w="140" w:type="dxa"/>
              <w:right w:w="140" w:type="dxa"/>
            </w:tcMar>
          </w:tcPr>
          <w:p>
            <w:r>
              <w:rPr>
                <w:rFonts w:ascii="Calibri" w:hAnsi="Calibri"/>
                <w:color w:val="1E293B"/>
                <w:sz w:val="18"/>
              </w:rPr>
              <w:t>Vegetable Varieties</w:t>
            </w:r>
          </w:p>
        </w:tc>
        <w:tc>
          <w:tcPr>
            <w:tcW w:type="dxa" w:w="3888"/>
            <w:shd w:fill="FFFFFF"/>
            <w:tcMar>
              <w:top w:w="90" w:type="dxa"/>
              <w:bottom w:w="90" w:type="dxa"/>
              <w:left w:w="140" w:type="dxa"/>
              <w:right w:w="140" w:type="dxa"/>
            </w:tcMar>
          </w:tcPr>
          <w:p>
            <w:r>
              <w:rPr>
                <w:rFonts w:ascii="Calibri" w:hAnsi="Calibri"/>
                <w:color w:val="1E293B"/>
                <w:sz w:val="18"/>
              </w:rPr>
              <w:t>9 commercial crops: Beans, Carrot, Cabbage, Tomato, Brinjal, Pumpkin, Snake Gourd, Green Chilli, Lime</w:t>
            </w:r>
          </w:p>
        </w:tc>
        <w:tc>
          <w:tcPr>
            <w:tcW w:type="dxa" w:w="3312"/>
            <w:shd w:fill="FFFFFF"/>
            <w:tcMar>
              <w:top w:w="90" w:type="dxa"/>
              <w:bottom w:w="90" w:type="dxa"/>
              <w:left w:w="140" w:type="dxa"/>
              <w:right w:w="140" w:type="dxa"/>
            </w:tcMar>
          </w:tcPr>
          <w:p>
            <w:r>
              <w:rPr>
                <w:rFonts w:ascii="Calibri" w:hAnsi="Calibri"/>
                <w:color w:val="1E293B"/>
                <w:sz w:val="18"/>
              </w:rPr>
              <w:t>Perennial tree crops, leafy greens, tea, rubber, coconut, and paddy</w:t>
            </w:r>
          </w:p>
        </w:tc>
      </w:tr>
      <w:tr>
        <w:tc>
          <w:tcPr>
            <w:tcW w:type="dxa" w:w="2160"/>
            <w:shd w:fill="F0FDF4"/>
            <w:tcMar>
              <w:top w:w="90" w:type="dxa"/>
              <w:bottom w:w="90" w:type="dxa"/>
              <w:left w:w="140" w:type="dxa"/>
              <w:right w:w="140" w:type="dxa"/>
            </w:tcMar>
          </w:tcPr>
          <w:p>
            <w:r>
              <w:rPr>
                <w:rFonts w:ascii="Calibri" w:hAnsi="Calibri"/>
                <w:color w:val="1E293B"/>
                <w:sz w:val="18"/>
              </w:rPr>
              <w:t>Geographic Focus</w:t>
            </w:r>
          </w:p>
        </w:tc>
        <w:tc>
          <w:tcPr>
            <w:tcW w:type="dxa" w:w="3888"/>
            <w:shd w:fill="F0FDF4"/>
            <w:tcMar>
              <w:top w:w="90" w:type="dxa"/>
              <w:bottom w:w="90" w:type="dxa"/>
              <w:left w:w="140" w:type="dxa"/>
              <w:right w:w="140" w:type="dxa"/>
            </w:tcMar>
          </w:tcPr>
          <w:p>
            <w:r>
              <w:rPr>
                <w:rFonts w:ascii="Calibri" w:hAnsi="Calibri"/>
                <w:color w:val="1E293B"/>
                <w:sz w:val="18"/>
              </w:rPr>
              <w:t>Primary farming zones: Badulla, Nuwara Eliya, Welimada, Matale, and Kandy</w:t>
            </w:r>
          </w:p>
        </w:tc>
        <w:tc>
          <w:tcPr>
            <w:tcW w:type="dxa" w:w="3312"/>
            <w:shd w:fill="F0FDF4"/>
            <w:tcMar>
              <w:top w:w="90" w:type="dxa"/>
              <w:bottom w:w="90" w:type="dxa"/>
              <w:left w:w="140" w:type="dxa"/>
              <w:right w:w="140" w:type="dxa"/>
            </w:tcMar>
          </w:tcPr>
          <w:p>
            <w:r>
              <w:rPr>
                <w:rFonts w:ascii="Calibri" w:hAnsi="Calibri"/>
                <w:color w:val="1E293B"/>
                <w:sz w:val="18"/>
              </w:rPr>
              <w:t>Northern and Eastern dry-zone minor vegetable plots</w:t>
            </w:r>
          </w:p>
        </w:tc>
      </w:tr>
      <w:tr>
        <w:tc>
          <w:tcPr>
            <w:tcW w:type="dxa" w:w="2160"/>
            <w:shd w:fill="FFFFFF"/>
            <w:tcMar>
              <w:top w:w="90" w:type="dxa"/>
              <w:bottom w:w="90" w:type="dxa"/>
              <w:left w:w="140" w:type="dxa"/>
              <w:right w:w="140" w:type="dxa"/>
            </w:tcMar>
          </w:tcPr>
          <w:p>
            <w:r>
              <w:rPr>
                <w:rFonts w:ascii="Calibri" w:hAnsi="Calibri"/>
                <w:color w:val="1E293B"/>
                <w:sz w:val="18"/>
              </w:rPr>
              <w:t>Historical Data Range</w:t>
            </w:r>
          </w:p>
        </w:tc>
        <w:tc>
          <w:tcPr>
            <w:tcW w:type="dxa" w:w="3888"/>
            <w:shd w:fill="FFFFFF"/>
            <w:tcMar>
              <w:top w:w="90" w:type="dxa"/>
              <w:bottom w:w="90" w:type="dxa"/>
              <w:left w:w="140" w:type="dxa"/>
              <w:right w:w="140" w:type="dxa"/>
            </w:tcMar>
          </w:tcPr>
          <w:p>
            <w:r>
              <w:rPr>
                <w:rFonts w:ascii="Calibri" w:hAnsi="Calibri"/>
                <w:color w:val="1E293B"/>
                <w:sz w:val="18"/>
              </w:rPr>
              <w:t>25 years of monthly price records (2000 - 2025) and 15 years of weather records (2010 - 2024)</w:t>
            </w:r>
          </w:p>
        </w:tc>
        <w:tc>
          <w:tcPr>
            <w:tcW w:type="dxa" w:w="3312"/>
            <w:shd w:fill="FFFFFF"/>
            <w:tcMar>
              <w:top w:w="90" w:type="dxa"/>
              <w:bottom w:w="90" w:type="dxa"/>
              <w:left w:w="140" w:type="dxa"/>
              <w:right w:w="140" w:type="dxa"/>
            </w:tcMar>
          </w:tcPr>
          <w:p>
            <w:r>
              <w:rPr>
                <w:rFonts w:ascii="Calibri" w:hAnsi="Calibri"/>
                <w:color w:val="1E293B"/>
                <w:sz w:val="18"/>
              </w:rPr>
              <w:t>High-frequency hourly weather or real-time IoT field sensor data</w:t>
            </w:r>
          </w:p>
        </w:tc>
      </w:tr>
      <w:tr>
        <w:tc>
          <w:tcPr>
            <w:tcW w:type="dxa" w:w="2160"/>
            <w:shd w:fill="F0FDF4"/>
            <w:tcMar>
              <w:top w:w="90" w:type="dxa"/>
              <w:bottom w:w="90" w:type="dxa"/>
              <w:left w:w="140" w:type="dxa"/>
              <w:right w:w="140" w:type="dxa"/>
            </w:tcMar>
          </w:tcPr>
          <w:p>
            <w:r>
              <w:rPr>
                <w:rFonts w:ascii="Calibri" w:hAnsi="Calibri"/>
                <w:color w:val="1E293B"/>
                <w:sz w:val="18"/>
              </w:rPr>
              <w:t>Delivery Medium</w:t>
            </w:r>
          </w:p>
        </w:tc>
        <w:tc>
          <w:tcPr>
            <w:tcW w:type="dxa" w:w="3888"/>
            <w:shd w:fill="F0FDF4"/>
            <w:tcMar>
              <w:top w:w="90" w:type="dxa"/>
              <w:bottom w:w="90" w:type="dxa"/>
              <w:left w:w="140" w:type="dxa"/>
              <w:right w:w="140" w:type="dxa"/>
            </w:tcMar>
          </w:tcPr>
          <w:p>
            <w:r>
              <w:rPr>
                <w:rFonts w:ascii="Calibri" w:hAnsi="Calibri"/>
                <w:color w:val="1E293B"/>
                <w:sz w:val="18"/>
              </w:rPr>
              <w:t>Responsive web dashboard (Streamlit) accessible via desktop and mobile web browsers</w:t>
            </w:r>
          </w:p>
        </w:tc>
        <w:tc>
          <w:tcPr>
            <w:tcW w:type="dxa" w:w="3312"/>
            <w:shd w:fill="F0FDF4"/>
            <w:tcMar>
              <w:top w:w="90" w:type="dxa"/>
              <w:bottom w:w="90" w:type="dxa"/>
              <w:left w:w="140" w:type="dxa"/>
              <w:right w:w="140" w:type="dxa"/>
            </w:tcMar>
          </w:tcPr>
          <w:p>
            <w:r>
              <w:rPr>
                <w:rFonts w:ascii="Calibri" w:hAnsi="Calibri"/>
                <w:color w:val="1E293B"/>
                <w:sz w:val="18"/>
              </w:rPr>
              <w:t>Native Android/iOS apps or automated SMS/IVR voice broadcast systems</w:t>
            </w:r>
          </w:p>
        </w:tc>
      </w:tr>
      <w:tr>
        <w:tc>
          <w:tcPr>
            <w:tcW w:type="dxa" w:w="2160"/>
            <w:shd w:fill="FFFFFF"/>
            <w:tcMar>
              <w:top w:w="90" w:type="dxa"/>
              <w:bottom w:w="90" w:type="dxa"/>
              <w:left w:w="140" w:type="dxa"/>
              <w:right w:w="140" w:type="dxa"/>
            </w:tcMar>
          </w:tcPr>
          <w:p>
            <w:r>
              <w:rPr>
                <w:rFonts w:ascii="Calibri" w:hAnsi="Calibri"/>
                <w:color w:val="1E293B"/>
                <w:sz w:val="18"/>
              </w:rPr>
              <w:t>Decision Support Scope</w:t>
            </w:r>
          </w:p>
        </w:tc>
        <w:tc>
          <w:tcPr>
            <w:tcW w:type="dxa" w:w="3888"/>
            <w:shd w:fill="FFFFFF"/>
            <w:tcMar>
              <w:top w:w="90" w:type="dxa"/>
              <w:bottom w:w="90" w:type="dxa"/>
              <w:left w:w="140" w:type="dxa"/>
              <w:right w:w="140" w:type="dxa"/>
            </w:tcMar>
          </w:tcPr>
          <w:p>
            <w:r>
              <w:rPr>
                <w:rFonts w:ascii="Calibri" w:hAnsi="Calibri"/>
                <w:color w:val="1E293B"/>
                <w:sz w:val="18"/>
              </w:rPr>
              <w:t>Pre-planting guidance: price forecasts, climate tolerance matching, and net profit margins</w:t>
            </w:r>
          </w:p>
        </w:tc>
        <w:tc>
          <w:tcPr>
            <w:tcW w:type="dxa" w:w="3312"/>
            <w:shd w:fill="FFFFFF"/>
            <w:tcMar>
              <w:top w:w="90" w:type="dxa"/>
              <w:bottom w:w="90" w:type="dxa"/>
              <w:left w:w="140" w:type="dxa"/>
              <w:right w:w="140" w:type="dxa"/>
            </w:tcMar>
          </w:tcPr>
          <w:p>
            <w:r>
              <w:rPr>
                <w:rFonts w:ascii="Calibri" w:hAnsi="Calibri"/>
                <w:color w:val="1E293B"/>
                <w:sz w:val="18"/>
              </w:rPr>
              <w:t>Post-harvest transport logistics, wholesale auction bidding, or direct e-commerce trade</w:t>
            </w:r>
          </w:p>
        </w:tc>
      </w:tr>
      <w:tr>
        <w:tc>
          <w:tcPr>
            <w:tcW w:type="dxa" w:w="2160"/>
            <w:shd w:fill="F0FDF4"/>
            <w:tcMar>
              <w:top w:w="90" w:type="dxa"/>
              <w:bottom w:w="90" w:type="dxa"/>
              <w:left w:w="140" w:type="dxa"/>
              <w:right w:w="140" w:type="dxa"/>
            </w:tcMar>
          </w:tcPr>
          <w:p>
            <w:r>
              <w:rPr>
                <w:rFonts w:ascii="Calibri" w:hAnsi="Calibri"/>
                <w:color w:val="1E293B"/>
                <w:sz w:val="18"/>
              </w:rPr>
              <w:t>Target Beneficiaries</w:t>
            </w:r>
          </w:p>
        </w:tc>
        <w:tc>
          <w:tcPr>
            <w:tcW w:type="dxa" w:w="3888"/>
            <w:shd w:fill="F0FDF4"/>
            <w:tcMar>
              <w:top w:w="90" w:type="dxa"/>
              <w:bottom w:w="90" w:type="dxa"/>
              <w:left w:w="140" w:type="dxa"/>
              <w:right w:w="140" w:type="dxa"/>
            </w:tcMar>
          </w:tcPr>
          <w:p>
            <w:r>
              <w:rPr>
                <w:rFonts w:ascii="Calibri" w:hAnsi="Calibri"/>
                <w:color w:val="1E293B"/>
                <w:sz w:val="18"/>
              </w:rPr>
              <w:t>Smallholder vegetable farmers (under 5 acres) and agricultural extension officers</w:t>
            </w:r>
          </w:p>
        </w:tc>
        <w:tc>
          <w:tcPr>
            <w:tcW w:type="dxa" w:w="3312"/>
            <w:shd w:fill="F0FDF4"/>
            <w:tcMar>
              <w:top w:w="90" w:type="dxa"/>
              <w:bottom w:w="90" w:type="dxa"/>
              <w:left w:w="140" w:type="dxa"/>
              <w:right w:w="140" w:type="dxa"/>
            </w:tcMar>
          </w:tcPr>
          <w:p>
            <w:r>
              <w:rPr>
                <w:rFonts w:ascii="Calibri" w:hAnsi="Calibri"/>
                <w:color w:val="1E293B"/>
                <w:sz w:val="18"/>
              </w:rPr>
              <w:t>Large-scale multinational food processors and commercial export syndicates</w:t>
            </w:r>
          </w:p>
        </w:tc>
      </w:tr>
    </w:tbl>
    <w:p/>
    <w:p>
      <w:pPr>
        <w:pStyle w:val="Heading2"/>
      </w:pPr>
      <w:r>
        <w:t>1.11 Chapter Summary</w:t>
      </w:r>
    </w:p>
    <w:p>
      <w:r>
        <w:t>This chapter set out the background and justification for developing a weather-driven agricultural decision support system in Sri Lanka. It highlighted how smallholder farmers struggle with extreme price swings caused by climate shocks and lack forward-looking market information. The chapter defined the research question, aim, objectives, rich picture, required resources, and project scope. Chapter 2 reviews the academic literature, compares existing systems, and explains the research gap in detail.</w:t>
      </w:r>
    </w:p>
    <w:p>
      <w:r>
        <w:br w:type="page"/>
      </w:r>
    </w:p>
    <w:p>
      <w:pPr>
        <w:pStyle w:val="Heading1"/>
      </w:pPr>
      <w:r>
        <w:t>Chapter 2: Literature Review</w:t>
      </w:r>
    </w:p>
    <w:p>
      <w:pPr>
        <w:pStyle w:val="Heading2"/>
      </w:pPr>
      <w:r>
        <w:t>2.1 Chapter Overview</w:t>
      </w:r>
    </w:p>
    <w:p>
      <w:r>
        <w:t>This chapter presents a critical literature review on agricultural price forecasting, climate impact modeling, and agricultural decision support systems. It outlines a conceptual map of the reviewed studies, describes the agricultural marketing domain in Sri Lanka, evaluates existing systems, and examines algorithmic and architectural approaches. The chapter concludes with a critical reflection that justifies the research gap addressed by this study.</w:t>
      </w:r>
    </w:p>
    <w:p>
      <w:pPr>
        <w:pStyle w:val="Heading2"/>
      </w:pPr>
      <w:r>
        <w:t>2.2 Conceptual Map of the Literature</w:t>
      </w:r>
    </w:p>
    <w:p>
      <w:r>
        <w:t>To review the literature systematically, the examined studies are structured into four connected pillars: (1) Agro-climatic drivers of crop yield and price volatility, (2) Time-series and machine learning forecasting algorithms, (3) Design and usability of agricultural decision support systems, and (4) Socio-economic factors influencing technology adoption by smallholder farmers. Reviewing these four areas together helps ground our technical system in practical agricultural realities.</w:t>
      </w:r>
    </w:p>
    <w:p>
      <w:pPr>
        <w:pStyle w:val="Heading2"/>
      </w:pPr>
      <w:r>
        <w:t>2.3 Domain Overview</w:t>
      </w:r>
    </w:p>
    <w:p>
      <w:r>
        <w:t>Vegetable marketing in Sri Lanka follows a multi-tier intermediary structure. Smallholders harvest perishable produce and sell it to local village collectors (pola traders) or transport it to Dedicated Economic Centres (DECs) such as Dambulla, Keppetipola, and Meegoda. Commission agents at these economic centers distribute produce to wholesale traders in Colombo's Pettah Central Market, who then sell to retail shops and supermarkets. Because vegetables are highly perishable and cold storage facilities are practically non-existent in rural production centers, farmers have very weak bargaining power. If a farmer arrives at Dambulla with three tons of tomatoes on a day when eighty lorries have arrived from Matale, the price collapses instantly. The farmer must sell at any offered price because transporting the harvest back home would incur additional loss.</w:t>
      </w:r>
    </w:p>
    <w:p>
      <w:r>
        <w:t>Furthermore, price spreads between farmgate prices received by smallholders and retail prices paid by consumers in Colombo often exceed one hundred to two hundred percent. Intermediaries capture the majority of the economic margin, while farmers absorb almost all production and weather risks. This economic reality highlights why smallholders urgently need tools that help them plan ahead.</w:t>
      </w:r>
    </w:p>
    <w:p>
      <w:pPr>
        <w:pStyle w:val="Heading2"/>
      </w:pPr>
      <w:r>
        <w:t>2.4 Existing Systems and Frameworks</w:t>
      </w:r>
    </w:p>
    <w:p>
      <w:r>
        <w:t>Several existing digital initiatives in Sri Lanka and internationally attempt to support agricultural marketing, but each exhibits clear limitations when applied to proactive smallholder crop planning:</w:t>
      </w:r>
    </w:p>
    <w:p>
      <w:r>
        <w:t>1. HARTI Market Information System: HARTI collects daily wholesale and retail prices from Pettah and major regional economic centers. While this dataset is historically rich and accurate, it is delivered via PDF bulletins and static web tables. It offers no predictive modeling, no weather integration, and no crop selection guidance.</w:t>
        <w:br/>
        <w:t>2. Govi Mithuru (Dialog Axiata): This mobile subscription service provides SMS and IVR voice alerts on crop protection, basic weather alerts, and current market prices. Although it achieves high rural reach due to mobile phone penetration, its advice is generic. It does not provide multi-month price projections or personalized farm profitability calculations.</w:t>
        <w:br/>
        <w:t>3. Department of Agriculture GeoGoviya Platform: A spatial mapping and farmer registration initiative that tracks cultivated lands and land suitability. However, it focuses primarily on administrative monitoring rather than market price forecasting for individual farmers.</w:t>
        <w:br/>
        <w:t>4. International Platforms (e-Choupal in India and Plantix in Germany): e-Choupal successfully eliminated village middlemen by establishing internet kiosks for price discovery, but it relied on physical procurement centers. Plantix uses deep computer vision for pest and disease diagnosis from smartphone images, but it does not address market price forecasting or crop timing.</w:t>
      </w:r>
    </w:p>
    <w:p>
      <w:pPr>
        <w:pStyle w:val="Heading2"/>
      </w:pPr>
      <w:r>
        <w:t>2.5 Technological Analysis</w:t>
      </w:r>
    </w:p>
    <w:p>
      <w:pPr>
        <w:pStyle w:val="Heading3"/>
      </w:pPr>
      <w:r>
        <w:t>2.5.1 Algorithmic Analysis</w:t>
      </w:r>
    </w:p>
    <w:p>
      <w:r>
        <w:t>Early agricultural forecasting literature relied on classical statistical models such as Autoregressive Integrated Moving Average (ARIMA) and Seasonal ARIMA (SARIMA). While ARIMA works reasonably well for linear, stationary data with clear regular seasonal cycles, it performs poorly when handling sudden climate shocks, unseasonal monsoon anomalies, and non-linear interactions. Later studies adopted supervised machine learning algorithms such as Random Forest, Support Vector Regression (SVR), and XGBoost. These models handle non-linear tabular features well, but they treat time observations as independent samples, failing to capture sequential dependencies across multi-month gestation cycles.</w:t>
      </w:r>
    </w:p>
    <w:p>
      <w:r>
        <w:t>In contrast, Recurrent Neural Networks (RNNs) and Long Short-Term Memory (LSTM) networks are designed specifically for sequential time-series modeling. LSTMs use internal gating mechanisms (input, forget, and output gates) to retain long-term historical patterns while filtering out short-term noise. A Bidirectional LSTM (BiLSTM) processes the sequence in both forward and backward directions, capturing context from both preceding and following time steps. Adding a temporal attention mechanism further allows the network to dynamically assign higher weights to weather anomalies occurring during sensitive flowering and fruiting periods. Therefore, a BiLSTM with entity embeddings and temporal attention was selected as the analytical backbone for this study.</w:t>
      </w:r>
    </w:p>
    <w:p>
      <w:pPr>
        <w:pStyle w:val="Heading3"/>
      </w:pPr>
      <w:r>
        <w:t>2.5.2 Design Analysis</w:t>
      </w:r>
    </w:p>
    <w:p>
      <w:r>
        <w:t>Agricultural information system interfaces often fail because they are designed for technical experts rather than field users. Complex multi-tab business intelligence suites like Power BI require significant bandwidth, proprietary licensing, and high digital literacy. On the other hand, oversimplified text SMS alerts cannot convey multi-horizon price trends or risk corridors. Streamlit provides an ideal balance. It renders lightweight, reactive Python web applications that load quickly on mobile web browsers, displays interactive Plotly charts, and eliminates unnecessary visual clutter.</w:t>
      </w:r>
    </w:p>
    <w:p>
      <w:pPr>
        <w:pStyle w:val="Heading3"/>
      </w:pPr>
      <w:r>
        <w:t>2.5.3 Workflow Analysis</w:t>
      </w:r>
    </w:p>
    <w:p>
      <w:r>
        <w:t>Typical data science workflows in published literature follow a one-way pipeline: collect data, clean, train a model, and report test accuracy in academic tables. This traditional workflow stops where the real-world user need begins. In our research, the workflow extends directly into decision support. Predicted prices feed directly into an agronomic suitability matrix that matches crop gestation periods with historical climate bounds, calculates costs and profits per acre, and generates clear recommendations for the farmer.</w:t>
      </w:r>
    </w:p>
    <w:p>
      <w:pPr>
        <w:pStyle w:val="Heading2"/>
      </w:pPr>
      <w:r>
        <w:t>2.6 Reflection and Research Gap Justification</w:t>
      </w:r>
    </w:p>
    <w:p>
      <w:r>
        <w:t>Critically examining recent research from 2020 to 2025 reveals a clear research gap. While many academic papers build standalone machine learning models that predict crop prices with high statistical precision, almost none bridge the gap between technical prediction and practical field decision-making for Sri Lankan smallholders. A farmer does not simply want to know a predicted number like 'LKR 165 per kg'. The farmer needs to know: 'If I plant carrots in October in Badulla, will the weather suit my crop during its 3-month cycle, will the expected price beat my production costs, and what other vegetables would yield a safer profit?' Developing an integrated MIS that answers these exact questions constitutes the primary contribution of this research.</w:t>
      </w:r>
    </w:p>
    <w:p>
      <w:r>
        <w:br w:type="page"/>
      </w:r>
    </w:p>
    <w:p>
      <w:pPr>
        <w:pStyle w:val="Heading1"/>
      </w:pPr>
      <w:r>
        <w:t>Chapter 3: Methodology</w:t>
      </w:r>
    </w:p>
    <w:p>
      <w:pPr>
        <w:pStyle w:val="Heading2"/>
      </w:pPr>
      <w:r>
        <w:t>3.1 Research Paradigm</w:t>
      </w:r>
    </w:p>
    <w:p>
      <w:r>
        <w:t>This study adopts a pragmatic research philosophy. Pragmatism views knowledge through the lens of practical action and problem-solving. Rather than debating whether social reality is purely objective (positivism) or purely subjective (interpretivism), pragmatism focuses on 'what works' to solve real-world problems. In this project, pragmatism allows us to combine quantitative meteorological measurements and mathematical sequence modeling with qualitative, empirical insights from smallholder farmers.</w:t>
      </w:r>
    </w:p>
    <w:p>
      <w:pPr>
        <w:pStyle w:val="Heading2"/>
      </w:pPr>
      <w:r>
        <w:t>3.2 Research Approach</w:t>
      </w:r>
    </w:p>
    <w:p>
      <w:r>
        <w:t>A mixed-methods research approach is employed. The deductive component uses quantitative time-series modeling, testing whether historical climate parameters and price lags reliably predict future farmgate prices. The inductive component collects qualitative feedback from practicing smallholder farmers in Badulla and Welimada, using their lived experiences to refine user requirements, validate volatility causes, and evaluate system usability.</w:t>
      </w:r>
    </w:p>
    <w:p>
      <w:pPr>
        <w:pStyle w:val="Heading2"/>
      </w:pPr>
      <w:r>
        <w:t>3.3 Research Strategy</w:t>
      </w:r>
    </w:p>
    <w:p>
      <w:r>
        <w:t>The research strategy follows Design Science Research (DSR). DSR focuses on creating and evaluating innovative artifacts that solve identified organizational or social problems. The core artifact produced in this research is the Sri Lanka Agri-MIS software application, which includes the SQLite database pipeline, the PyTorch deep sequence network, the crop recommendation engine, and the interactive web dashboard.</w:t>
      </w:r>
    </w:p>
    <w:p>
      <w:pPr>
        <w:pStyle w:val="Heading2"/>
      </w:pPr>
      <w:r>
        <w:t>3.4 Fact Collection Mechanisms</w:t>
      </w:r>
    </w:p>
    <w:p>
      <w:r>
        <w:t>Data collection was conducted across three distinct channels: (1) Secondary meteorological data: 142,371 daily records from 27 national meteorological stations spanning 2010 to 2024, collected from Department of Meteorology archives and open climate databases. (2) Secondary price records: 2,772 monthly farmgate, wholesale, and retail price records spanning 2000 to 2025 across 9 vegetable varieties from HARTI bulletins. (3) Primary field survey: A structured questionnaire administered to smallholder vegetable farmers in the Badulla and Welimada agricultural divisions. The survey gathered empirical data on farm acreage, farming experience, past financial losses, primary causes of price volatility, and preferences for digital advisory tools.</w:t>
      </w:r>
    </w:p>
    <w:p>
      <w:pPr>
        <w:pStyle w:val="Heading2"/>
      </w:pPr>
      <w:r>
        <w:t>3.5 Research Methodology Execution Workflow</w:t>
      </w:r>
    </w:p>
    <w:p>
      <w:r>
        <w:t>The research execution strictly adheres to Peffers' six-stage Design Science Research Methodology (DSRM) framework. Table 3.1 details how each stage was executed in this study.</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15803D"/>
            <w:tcMar>
              <w:top w:w="120" w:type="dxa"/>
              <w:bottom w:w="120" w:type="dxa"/>
              <w:left w:w="160" w:type="dxa"/>
              <w:right w:w="160" w:type="dxa"/>
            </w:tcMar>
          </w:tcPr>
          <w:p>
            <w:pPr>
              <w:jc w:val="center"/>
            </w:pPr>
            <w:r>
              <w:rPr>
                <w:rFonts w:ascii="Calibri" w:hAnsi="Calibri"/>
                <w:b/>
                <w:color w:val="FFFFFF"/>
                <w:sz w:val="19"/>
              </w:rPr>
              <w:t>DSRM Stage</w:t>
            </w:r>
          </w:p>
        </w:tc>
        <w:tc>
          <w:tcPr>
            <w:tcW w:type="dxa" w:w="3888"/>
            <w:shd w:fill="15803D"/>
            <w:tcMar>
              <w:top w:w="120" w:type="dxa"/>
              <w:bottom w:w="120" w:type="dxa"/>
              <w:left w:w="160" w:type="dxa"/>
              <w:right w:w="160" w:type="dxa"/>
            </w:tcMar>
          </w:tcPr>
          <w:p>
            <w:pPr>
              <w:jc w:val="center"/>
            </w:pPr>
            <w:r>
              <w:rPr>
                <w:rFonts w:ascii="Calibri" w:hAnsi="Calibri"/>
                <w:b/>
                <w:color w:val="FFFFFF"/>
                <w:sz w:val="19"/>
              </w:rPr>
              <w:t>Research Activity Conducted</w:t>
            </w:r>
          </w:p>
        </w:tc>
        <w:tc>
          <w:tcPr>
            <w:tcW w:type="dxa" w:w="3168"/>
            <w:shd w:fill="15803D"/>
            <w:tcMar>
              <w:top w:w="120" w:type="dxa"/>
              <w:bottom w:w="120" w:type="dxa"/>
              <w:left w:w="160" w:type="dxa"/>
              <w:right w:w="160" w:type="dxa"/>
            </w:tcMar>
          </w:tcPr>
          <w:p>
            <w:pPr>
              <w:jc w:val="center"/>
            </w:pPr>
            <w:r>
              <w:rPr>
                <w:rFonts w:ascii="Calibri" w:hAnsi="Calibri"/>
                <w:b/>
                <w:color w:val="FFFFFF"/>
                <w:sz w:val="19"/>
              </w:rPr>
              <w:t>Concrete Deliverables Produced</w:t>
            </w:r>
          </w:p>
        </w:tc>
      </w:tr>
      <w:tr>
        <w:tc>
          <w:tcPr>
            <w:tcW w:type="dxa" w:w="2304"/>
            <w:shd w:fill="FFFFFF"/>
            <w:tcMar>
              <w:top w:w="90" w:type="dxa"/>
              <w:bottom w:w="90" w:type="dxa"/>
              <w:left w:w="140" w:type="dxa"/>
              <w:right w:w="140" w:type="dxa"/>
            </w:tcMar>
          </w:tcPr>
          <w:p>
            <w:r>
              <w:rPr>
                <w:rFonts w:ascii="Calibri" w:hAnsi="Calibri"/>
                <w:color w:val="1E293B"/>
                <w:sz w:val="18"/>
              </w:rPr>
              <w:t>1. Problem Identification</w:t>
            </w:r>
          </w:p>
        </w:tc>
        <w:tc>
          <w:tcPr>
            <w:tcW w:type="dxa" w:w="3888"/>
            <w:shd w:fill="FFFFFF"/>
            <w:tcMar>
              <w:top w:w="90" w:type="dxa"/>
              <w:bottom w:w="90" w:type="dxa"/>
              <w:left w:w="140" w:type="dxa"/>
              <w:right w:w="140" w:type="dxa"/>
            </w:tcMar>
          </w:tcPr>
          <w:p>
            <w:r>
              <w:rPr>
                <w:rFonts w:ascii="Calibri" w:hAnsi="Calibri"/>
                <w:color w:val="1E293B"/>
                <w:sz w:val="18"/>
              </w:rPr>
              <w:t>Reviewed academic papers, analyzed price spike incidents in 2024-2025, and conducted informal farmer interviews in Badulla</w:t>
            </w:r>
          </w:p>
        </w:tc>
        <w:tc>
          <w:tcPr>
            <w:tcW w:type="dxa" w:w="3168"/>
            <w:shd w:fill="FFFFFF"/>
            <w:tcMar>
              <w:top w:w="90" w:type="dxa"/>
              <w:bottom w:w="90" w:type="dxa"/>
              <w:left w:w="140" w:type="dxa"/>
              <w:right w:w="140" w:type="dxa"/>
            </w:tcMar>
          </w:tcPr>
          <w:p>
            <w:r>
              <w:rPr>
                <w:rFonts w:ascii="Calibri" w:hAnsi="Calibri"/>
                <w:color w:val="1E293B"/>
                <w:sz w:val="18"/>
              </w:rPr>
              <w:t>Documented problem statement, research questions, and stakeholder requirements</w:t>
            </w:r>
          </w:p>
        </w:tc>
      </w:tr>
      <w:tr>
        <w:tc>
          <w:tcPr>
            <w:tcW w:type="dxa" w:w="2304"/>
            <w:shd w:fill="F0FDF4"/>
            <w:tcMar>
              <w:top w:w="90" w:type="dxa"/>
              <w:bottom w:w="90" w:type="dxa"/>
              <w:left w:w="140" w:type="dxa"/>
              <w:right w:w="140" w:type="dxa"/>
            </w:tcMar>
          </w:tcPr>
          <w:p>
            <w:r>
              <w:rPr>
                <w:rFonts w:ascii="Calibri" w:hAnsi="Calibri"/>
                <w:color w:val="1E293B"/>
                <w:sz w:val="18"/>
              </w:rPr>
              <w:t>2. Relevance Justification</w:t>
            </w:r>
          </w:p>
        </w:tc>
        <w:tc>
          <w:tcPr>
            <w:tcW w:type="dxa" w:w="3888"/>
            <w:shd w:fill="F0FDF4"/>
            <w:tcMar>
              <w:top w:w="90" w:type="dxa"/>
              <w:bottom w:w="90" w:type="dxa"/>
              <w:left w:w="140" w:type="dxa"/>
              <w:right w:w="140" w:type="dxa"/>
            </w:tcMar>
          </w:tcPr>
          <w:p>
            <w:r>
              <w:rPr>
                <w:rFonts w:ascii="Calibri" w:hAnsi="Calibri"/>
                <w:color w:val="1E293B"/>
                <w:sz w:val="18"/>
              </w:rPr>
              <w:t>Analyzed smallholder debt patterns, extreme consumer vegetable inflation, and lack of forward-looking digital tools</w:t>
            </w:r>
          </w:p>
        </w:tc>
        <w:tc>
          <w:tcPr>
            <w:tcW w:type="dxa" w:w="3168"/>
            <w:shd w:fill="F0FDF4"/>
            <w:tcMar>
              <w:top w:w="90" w:type="dxa"/>
              <w:bottom w:w="90" w:type="dxa"/>
              <w:left w:w="140" w:type="dxa"/>
              <w:right w:w="140" w:type="dxa"/>
            </w:tcMar>
          </w:tcPr>
          <w:p>
            <w:r>
              <w:rPr>
                <w:rFonts w:ascii="Calibri" w:hAnsi="Calibri"/>
                <w:color w:val="1E293B"/>
                <w:sz w:val="18"/>
              </w:rPr>
              <w:t>Relevance justification linking climate anomalies to market price crashes</w:t>
            </w:r>
          </w:p>
        </w:tc>
      </w:tr>
      <w:tr>
        <w:tc>
          <w:tcPr>
            <w:tcW w:type="dxa" w:w="2304"/>
            <w:shd w:fill="FFFFFF"/>
            <w:tcMar>
              <w:top w:w="90" w:type="dxa"/>
              <w:bottom w:w="90" w:type="dxa"/>
              <w:left w:w="140" w:type="dxa"/>
              <w:right w:w="140" w:type="dxa"/>
            </w:tcMar>
          </w:tcPr>
          <w:p>
            <w:r>
              <w:rPr>
                <w:rFonts w:ascii="Calibri" w:hAnsi="Calibri"/>
                <w:color w:val="1E293B"/>
                <w:sz w:val="18"/>
              </w:rPr>
              <w:t>3. Comparative Analysis &amp; Gap</w:t>
            </w:r>
          </w:p>
        </w:tc>
        <w:tc>
          <w:tcPr>
            <w:tcW w:type="dxa" w:w="3888"/>
            <w:shd w:fill="FFFFFF"/>
            <w:tcMar>
              <w:top w:w="90" w:type="dxa"/>
              <w:bottom w:w="90" w:type="dxa"/>
              <w:left w:w="140" w:type="dxa"/>
              <w:right w:w="140" w:type="dxa"/>
            </w:tcMar>
          </w:tcPr>
          <w:p>
            <w:r>
              <w:rPr>
                <w:rFonts w:ascii="Calibri" w:hAnsi="Calibri"/>
                <w:color w:val="1E293B"/>
                <w:sz w:val="18"/>
              </w:rPr>
              <w:t>Evaluated HARTI reports, Govi Mithuru, GeoGoviya, and international platforms; identified the decision support gap</w:t>
            </w:r>
          </w:p>
        </w:tc>
        <w:tc>
          <w:tcPr>
            <w:tcW w:type="dxa" w:w="3168"/>
            <w:shd w:fill="FFFFFF"/>
            <w:tcMar>
              <w:top w:w="90" w:type="dxa"/>
              <w:bottom w:w="90" w:type="dxa"/>
              <w:left w:w="140" w:type="dxa"/>
              <w:right w:w="140" w:type="dxa"/>
            </w:tcMar>
          </w:tcPr>
          <w:p>
            <w:r>
              <w:rPr>
                <w:rFonts w:ascii="Calibri" w:hAnsi="Calibri"/>
                <w:color w:val="1E293B"/>
                <w:sz w:val="18"/>
              </w:rPr>
              <w:t>Comprehensive literature synthesis and research gap documentation in Chapter 2</w:t>
            </w:r>
          </w:p>
        </w:tc>
      </w:tr>
      <w:tr>
        <w:tc>
          <w:tcPr>
            <w:tcW w:type="dxa" w:w="2304"/>
            <w:shd w:fill="F0FDF4"/>
            <w:tcMar>
              <w:top w:w="90" w:type="dxa"/>
              <w:bottom w:w="90" w:type="dxa"/>
              <w:left w:w="140" w:type="dxa"/>
              <w:right w:w="140" w:type="dxa"/>
            </w:tcMar>
          </w:tcPr>
          <w:p>
            <w:r>
              <w:rPr>
                <w:rFonts w:ascii="Calibri" w:hAnsi="Calibri"/>
                <w:color w:val="1E293B"/>
                <w:sz w:val="18"/>
              </w:rPr>
              <w:t>4. Define Objectives</w:t>
            </w:r>
          </w:p>
        </w:tc>
        <w:tc>
          <w:tcPr>
            <w:tcW w:type="dxa" w:w="3888"/>
            <w:shd w:fill="F0FDF4"/>
            <w:tcMar>
              <w:top w:w="90" w:type="dxa"/>
              <w:bottom w:w="90" w:type="dxa"/>
              <w:left w:w="140" w:type="dxa"/>
              <w:right w:w="140" w:type="dxa"/>
            </w:tcMar>
          </w:tcPr>
          <w:p>
            <w:r>
              <w:rPr>
                <w:rFonts w:ascii="Calibri" w:hAnsi="Calibri"/>
                <w:color w:val="1E293B"/>
                <w:sz w:val="18"/>
              </w:rPr>
              <w:t>Formulated 4 measurable research objectives covering climate variables, database creation, deep modeling, and field evaluation</w:t>
            </w:r>
          </w:p>
        </w:tc>
        <w:tc>
          <w:tcPr>
            <w:tcW w:type="dxa" w:w="3168"/>
            <w:shd w:fill="F0FDF4"/>
            <w:tcMar>
              <w:top w:w="90" w:type="dxa"/>
              <w:bottom w:w="90" w:type="dxa"/>
              <w:left w:w="140" w:type="dxa"/>
              <w:right w:w="140" w:type="dxa"/>
            </w:tcMar>
          </w:tcPr>
          <w:p>
            <w:r>
              <w:rPr>
                <w:rFonts w:ascii="Calibri" w:hAnsi="Calibri"/>
                <w:color w:val="1E293B"/>
                <w:sz w:val="18"/>
              </w:rPr>
              <w:t>Finalized research aim, specific objectives, and project scope boundaries</w:t>
            </w:r>
          </w:p>
        </w:tc>
      </w:tr>
      <w:tr>
        <w:tc>
          <w:tcPr>
            <w:tcW w:type="dxa" w:w="2304"/>
            <w:shd w:fill="FFFFFF"/>
            <w:tcMar>
              <w:top w:w="90" w:type="dxa"/>
              <w:bottom w:w="90" w:type="dxa"/>
              <w:left w:w="140" w:type="dxa"/>
              <w:right w:w="140" w:type="dxa"/>
            </w:tcMar>
          </w:tcPr>
          <w:p>
            <w:r>
              <w:rPr>
                <w:rFonts w:ascii="Calibri" w:hAnsi="Calibri"/>
                <w:color w:val="1E293B"/>
                <w:sz w:val="18"/>
              </w:rPr>
              <w:t>5. Design &amp; Development</w:t>
            </w:r>
          </w:p>
        </w:tc>
        <w:tc>
          <w:tcPr>
            <w:tcW w:type="dxa" w:w="3888"/>
            <w:shd w:fill="FFFFFF"/>
            <w:tcMar>
              <w:top w:w="90" w:type="dxa"/>
              <w:bottom w:w="90" w:type="dxa"/>
              <w:left w:w="140" w:type="dxa"/>
              <w:right w:w="140" w:type="dxa"/>
            </w:tcMar>
          </w:tcPr>
          <w:p>
            <w:r>
              <w:rPr>
                <w:rFonts w:ascii="Calibri" w:hAnsi="Calibri"/>
                <w:color w:val="1E293B"/>
                <w:sz w:val="18"/>
              </w:rPr>
              <w:t>Cleaned raw data, built SQLite database, developed PyTorch BiLSTM model with attention, designed crop advisor, built web UI</w:t>
            </w:r>
          </w:p>
        </w:tc>
        <w:tc>
          <w:tcPr>
            <w:tcW w:type="dxa" w:w="3168"/>
            <w:shd w:fill="FFFFFF"/>
            <w:tcMar>
              <w:top w:w="90" w:type="dxa"/>
              <w:bottom w:w="90" w:type="dxa"/>
              <w:left w:w="140" w:type="dxa"/>
              <w:right w:w="140" w:type="dxa"/>
            </w:tcMar>
          </w:tcPr>
          <w:p>
            <w:r>
              <w:rPr>
                <w:rFonts w:ascii="Calibri" w:hAnsi="Calibri"/>
                <w:color w:val="1E293B"/>
                <w:sz w:val="18"/>
              </w:rPr>
              <w:t>Complete working Agri-MIS application with PyTorch weights and SQLite database</w:t>
            </w:r>
          </w:p>
        </w:tc>
      </w:tr>
      <w:tr>
        <w:tc>
          <w:tcPr>
            <w:tcW w:type="dxa" w:w="2304"/>
            <w:shd w:fill="F0FDF4"/>
            <w:tcMar>
              <w:top w:w="90" w:type="dxa"/>
              <w:bottom w:w="90" w:type="dxa"/>
              <w:left w:w="140" w:type="dxa"/>
              <w:right w:w="140" w:type="dxa"/>
            </w:tcMar>
          </w:tcPr>
          <w:p>
            <w:r>
              <w:rPr>
                <w:rFonts w:ascii="Calibri" w:hAnsi="Calibri"/>
                <w:color w:val="1E293B"/>
                <w:sz w:val="18"/>
              </w:rPr>
              <w:t>6. Evaluation &amp; Communication</w:t>
            </w:r>
          </w:p>
        </w:tc>
        <w:tc>
          <w:tcPr>
            <w:tcW w:type="dxa" w:w="3888"/>
            <w:shd w:fill="F0FDF4"/>
            <w:tcMar>
              <w:top w:w="90" w:type="dxa"/>
              <w:bottom w:w="90" w:type="dxa"/>
              <w:left w:w="140" w:type="dxa"/>
              <w:right w:w="140" w:type="dxa"/>
            </w:tcMar>
          </w:tcPr>
          <w:p>
            <w:r>
              <w:rPr>
                <w:rFonts w:ascii="Calibri" w:hAnsi="Calibri"/>
                <w:color w:val="1E293B"/>
                <w:sz w:val="18"/>
              </w:rPr>
              <w:t>Computed MAE, RMSE, MAPE, and R2 on out-of-sample test split; conducted field usability testing with smallholder farmers</w:t>
            </w:r>
          </w:p>
        </w:tc>
        <w:tc>
          <w:tcPr>
            <w:tcW w:type="dxa" w:w="3168"/>
            <w:shd w:fill="F0FDF4"/>
            <w:tcMar>
              <w:top w:w="90" w:type="dxa"/>
              <w:bottom w:w="90" w:type="dxa"/>
              <w:left w:w="140" w:type="dxa"/>
              <w:right w:w="140" w:type="dxa"/>
            </w:tcMar>
          </w:tcPr>
          <w:p>
            <w:r>
              <w:rPr>
                <w:rFonts w:ascii="Calibri" w:hAnsi="Calibri"/>
                <w:color w:val="1E293B"/>
                <w:sz w:val="18"/>
              </w:rPr>
              <w:t>Quantitative metrics table, usability findings, and final thesis documentation</w:t>
            </w:r>
          </w:p>
        </w:tc>
      </w:tr>
    </w:tbl>
    <w:p/>
    <w:p>
      <w:pPr>
        <w:pStyle w:val="Heading2"/>
      </w:pPr>
      <w:r>
        <w:t>3.6 Project Management Methodology</w:t>
      </w:r>
    </w:p>
    <w:p>
      <w:r>
        <w:t>The software development process followed the Agile Scrum framework. Scrum was selected because machine learning projects involve iterative experimentation, where model architectures, feature combinations, and user interface designs must be continually refined. Work was divided into two-week sprint cycles focusing sequentially on data preprocessing, sequence modeling, recommendation logic, and interface integration.</w:t>
      </w:r>
    </w:p>
    <w:p>
      <w:pPr>
        <w:pStyle w:val="Heading3"/>
      </w:pPr>
      <w:r>
        <w:t>3.6.1 Project Timeline</w:t>
      </w:r>
    </w:p>
    <w:p>
      <w:r>
        <w:t>The project ran across a 10-month schedule from December 2025 through September 2026. Key milestones included: problem formulation and literature review (Dec 2025 - Jan 2026), farmer survey and data cleaning (Feb - Mar 2026), PyTorch sequence model development and tuning (Apr - May 2026), recommendation engine and Streamlit dashboard implementation (Jun - Jul 2026), model evaluation and field usability testing (Aug 2026), and final thesis writing and submission (Sep 2026).</w:t>
      </w:r>
    </w:p>
    <w:p>
      <w:pPr>
        <w:pStyle w:val="Heading3"/>
      </w:pPr>
      <w:r>
        <w:t>3.6.2 Ethical Considerations</w:t>
      </w:r>
    </w:p>
    <w:p>
      <w:r>
        <w:t>Strict ethical standards were observed throughout the research. Informed consent was obtained from every participating smallholder farmer prior to administering the survey. Farmers were informed that participation was entirely voluntary and that their answers would be used strictly for academic research. All personal identifiers were removed during data preprocessing, ensuring that individual survey records in the SQLite database remain completely anonymous. Secondary weather and price datasets were accessed legally from public research archives and official government publications.</w:t>
      </w:r>
    </w:p>
    <w:p>
      <w:pPr>
        <w:pStyle w:val="Heading2"/>
      </w:pPr>
      <w:r>
        <w:t>3.7 Chapter Summary</w:t>
      </w:r>
    </w:p>
    <w:p>
      <w:r>
        <w:t>This chapter detailed the research methodology. It justified the pragmatic paradigm, mixed-methods approach, and Design Science Research strategy. It presented the DSRM execution table, outlined the Agile Scrum project timeline, and addressed research ethics. Chapter 4 presents the System Requirement Specification (SRS), stakeholder analysis, and system architecture.</w:t>
      </w:r>
    </w:p>
    <w:p>
      <w:r>
        <w:br w:type="page"/>
      </w:r>
    </w:p>
    <w:p>
      <w:pPr>
        <w:pStyle w:val="Heading1"/>
      </w:pPr>
      <w:r>
        <w:t>Chapter 4: System Requirement Specification</w:t>
      </w:r>
    </w:p>
    <w:p>
      <w:pPr>
        <w:pStyle w:val="Heading2"/>
      </w:pPr>
      <w:r>
        <w:t>4.1 Chapter Overview</w:t>
      </w:r>
    </w:p>
    <w:p>
      <w:r>
        <w:t>This chapter defines the system requirements for the Sri Lanka Agri-MIS application. It includes a stakeholder analysis, explains the operationalization process mapping field survey insights to system capabilities, presents the system architecture, details UML diagrams (Use Case, Activity, and Sequence diagrams), and outlines functional and non-functional requirements.</w:t>
      </w:r>
    </w:p>
    <w:p>
      <w:pPr>
        <w:pStyle w:val="Heading2"/>
      </w:pPr>
      <w:r>
        <w:t>4.2 Stakeholder Analysis</w:t>
      </w:r>
    </w:p>
    <w:p>
      <w:r>
        <w:t>Understanding user roles is crucial for designing a usable agricultural system. Four main stakeholder groups were identified:</w:t>
      </w:r>
    </w:p>
    <w:p>
      <w:r>
        <w:t>1. Smallholder Farmers (Primary Users): Farmers cultivating 0.5 to 3.0 acres in Badulla, Welimada, and Nuwara Eliya. Their primary goal is finding out which crops will be profitable at harvest and checking if upcoming weather will suit their land. They have modest digital literacy and require visual cards, simple charts, and plain language.</w:t>
        <w:br/>
        <w:t>2. Agricultural Extension Officers (Secondary Users): Field officers from the Department of Agriculture (Agricultural Instructors - AIs). They use the MIS to provide data-backed planting advice to farmers during village training sessions and farm visits.</w:t>
        <w:br/>
        <w:t>3. Agricultural Researchers and Policy Analysts: Researchers at HARTI and universities who require multi-year price spread analytics, weather correlation matrices, and verifiable deep learning forecast corridors.</w:t>
        <w:br/>
        <w:t>4. System Administrator / Data Engineer: Responsible for updating the SQLite database with new monthly prices and retraining the PyTorch model annually.</w:t>
      </w:r>
    </w:p>
    <w:p>
      <w:pPr>
        <w:pStyle w:val="Heading2"/>
      </w:pPr>
      <w:r>
        <w:t>4.3 Operationalization Process</w:t>
      </w:r>
    </w:p>
    <w:p>
      <w:r>
        <w:t>The operationalization process bridges primary farmer survey findings with system requirements. Survey results from Badulla and Welimada revealed that 70% of respondents identified unseasonal heavy rainfall as the primary cause of sudden crop loss and price volatility. Furthermore, 80% reported receiving market price information solely from village middlemen or word of mouth after harvest. These findings directly informed two key system requirements: (1) The predictive model must incorporate rainfall sums, rain days, and ambient temperatures as dynamic sequence features, and (2) The application must provide a proactive 'Planting Advisor' that evaluates crop gestation windows (2 to 4 months) before seeds are planted.</w:t>
      </w:r>
    </w:p>
    <w:p>
      <w:pPr>
        <w:pStyle w:val="Heading2"/>
      </w:pPr>
      <w:r>
        <w:t>4.4 System Architecture</w:t>
      </w:r>
    </w:p>
    <w:p>
      <w:r>
        <w:t>Figure 4.1 depicts the four-tier modular system architecture developed for the Sri Lanka Agri-MIS platform.</w:t>
      </w:r>
    </w:p>
    <w:p>
      <w:pPr>
        <w:spacing w:before="200" w:after="80"/>
        <w:jc w:val="center"/>
      </w:pPr>
      <w:r>
        <w:drawing>
          <wp:inline xmlns:a="http://schemas.openxmlformats.org/drawingml/2006/main" xmlns:pic="http://schemas.openxmlformats.org/drawingml/2006/picture">
            <wp:extent cx="5669280" cy="3763640"/>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669280" cy="3763640"/>
                    </a:xfrm>
                    <a:prstGeom prst="rect"/>
                  </pic:spPr>
                </pic:pic>
              </a:graphicData>
            </a:graphic>
          </wp:inline>
        </w:drawing>
      </w:r>
    </w:p>
    <w:p>
      <w:pPr>
        <w:spacing w:after="280"/>
        <w:jc w:val="center"/>
      </w:pPr>
      <w:r>
        <w:rPr>
          <w:rFonts w:ascii="Calibri" w:hAnsi="Calibri"/>
          <w:b/>
          <w:i/>
          <w:color w:val="4B5563"/>
          <w:sz w:val="19"/>
        </w:rPr>
        <w:t>Figure 4.1: Four-Tier System Architecture of Sri Lanka Agri-MIS</w:t>
      </w:r>
    </w:p>
    <w:p>
      <w:r>
        <w:t>The architecture separates data storage, analytical processing, and presentation into clean, decoupled layers: (1) Data Ingestion Tier: Ingests raw meteorological observations, HARTI price reports, and farmer survey responses. (2) Data Management Tier: Normalizes data into SQLite relational tables, computes cyclical sine and cosine calendar features, and builds 6-month sliding window training sequences. (3) Application and Analytical Tier: Executes the PyTorch deep sequence network, computes compound inflation multipliers, and runs the multi-criteria agronomic decision logic. (4) Presentation Tier: Serves responsive Plotly visualizations and recommendation cards via the Streamlit web framework.</w:t>
      </w:r>
    </w:p>
    <w:p>
      <w:pPr>
        <w:pStyle w:val="Heading2"/>
      </w:pPr>
      <w:r>
        <w:t>4.5 Use Case Analysis</w:t>
      </w:r>
    </w:p>
    <w:p>
      <w:r>
        <w:t>Figure 4.2 illustrates the Use Case diagram showing primary actors interacting with the system's core capabilities.</w:t>
      </w:r>
    </w:p>
    <w:p>
      <w:pPr>
        <w:spacing w:before="200" w:after="80"/>
        <w:jc w:val="center"/>
      </w:pPr>
      <w:r>
        <w:drawing>
          <wp:inline xmlns:a="http://schemas.openxmlformats.org/drawingml/2006/main" xmlns:pic="http://schemas.openxmlformats.org/drawingml/2006/picture">
            <wp:extent cx="5486400" cy="3724712"/>
            <wp:docPr id="3" name="Picture 3"/>
            <wp:cNvGraphicFramePr>
              <a:graphicFrameLocks noChangeAspect="1"/>
            </wp:cNvGraphicFramePr>
            <a:graphic>
              <a:graphicData uri="http://schemas.openxmlformats.org/drawingml/2006/picture">
                <pic:pic>
                  <pic:nvPicPr>
                    <pic:cNvPr id="0" name="usecase_diagram.png"/>
                    <pic:cNvPicPr/>
                  </pic:nvPicPr>
                  <pic:blipFill>
                    <a:blip r:embed="rId11"/>
                    <a:stretch>
                      <a:fillRect/>
                    </a:stretch>
                  </pic:blipFill>
                  <pic:spPr>
                    <a:xfrm>
                      <a:off x="0" y="0"/>
                      <a:ext cx="5486400" cy="3724712"/>
                    </a:xfrm>
                    <a:prstGeom prst="rect"/>
                  </pic:spPr>
                </pic:pic>
              </a:graphicData>
            </a:graphic>
          </wp:inline>
        </w:drawing>
      </w:r>
    </w:p>
    <w:p>
      <w:pPr>
        <w:spacing w:after="280"/>
        <w:jc w:val="center"/>
      </w:pPr>
      <w:r>
        <w:rPr>
          <w:rFonts w:ascii="Calibri" w:hAnsi="Calibri"/>
          <w:b/>
          <w:i/>
          <w:color w:val="4B5563"/>
          <w:sz w:val="19"/>
        </w:rPr>
        <w:t>Figure 4.2: System Use Case Diagram</w:t>
      </w:r>
    </w:p>
    <w:p>
      <w:r>
        <w:t>The system provides five primary use cases: UC1 allows users to explore national vegetable overview statistics and Department of Agriculture agronomic specifications. UC2 presents empirical survey findings regarding smallholder experience, land size, and price volatility drivers. UC3 lets analysts inspect 25-year price trends, wholesale-retail spreads, and climate correlation heatmaps. UC4 enables users to generate forward or backward multi-horizon price projections with custom inflation rates and 90% confidence corridors. UC5 generates ranked crop recommendations based on planting month, district, and farm acreage.</w:t>
      </w:r>
    </w:p>
    <w:p>
      <w:pPr>
        <w:pStyle w:val="Heading2"/>
      </w:pPr>
      <w:r>
        <w:t>4.6 Activity Diagram (Crop Advisor Workflow)</w:t>
      </w:r>
    </w:p>
    <w:p>
      <w:r>
        <w:t>Figure 4.3 illustrates the activity diagram depicting the decision logic executed when a farmer requests crop planting advice.</w:t>
      </w:r>
    </w:p>
    <w:p>
      <w:pPr>
        <w:spacing w:before="200" w:after="80"/>
        <w:jc w:val="center"/>
      </w:pPr>
      <w:r>
        <w:drawing>
          <wp:inline xmlns:a="http://schemas.openxmlformats.org/drawingml/2006/main" xmlns:pic="http://schemas.openxmlformats.org/drawingml/2006/picture">
            <wp:extent cx="5303520" cy="4232102"/>
            <wp:docPr id="4" name="Picture 4"/>
            <wp:cNvGraphicFramePr>
              <a:graphicFrameLocks noChangeAspect="1"/>
            </wp:cNvGraphicFramePr>
            <a:graphic>
              <a:graphicData uri="http://schemas.openxmlformats.org/drawingml/2006/picture">
                <pic:pic>
                  <pic:nvPicPr>
                    <pic:cNvPr id="0" name="activity_diagram.png"/>
                    <pic:cNvPicPr/>
                  </pic:nvPicPr>
                  <pic:blipFill>
                    <a:blip r:embed="rId12"/>
                    <a:stretch>
                      <a:fillRect/>
                    </a:stretch>
                  </pic:blipFill>
                  <pic:spPr>
                    <a:xfrm>
                      <a:off x="0" y="0"/>
                      <a:ext cx="5303520" cy="4232102"/>
                    </a:xfrm>
                    <a:prstGeom prst="rect"/>
                  </pic:spPr>
                </pic:pic>
              </a:graphicData>
            </a:graphic>
          </wp:inline>
        </w:drawing>
      </w:r>
    </w:p>
    <w:p>
      <w:pPr>
        <w:spacing w:after="280"/>
        <w:jc w:val="center"/>
      </w:pPr>
      <w:r>
        <w:rPr>
          <w:rFonts w:ascii="Calibri" w:hAnsi="Calibri"/>
          <w:b/>
          <w:i/>
          <w:color w:val="4B5563"/>
          <w:sz w:val="19"/>
        </w:rPr>
        <w:t>Figure 4.3: Crop Plantation Advisor Activity Flow Diagram</w:t>
      </w:r>
    </w:p>
    <w:p>
      <w:r>
        <w:t>The workflow begins when the user inputs a planting month, target district, and farm acreage. For each of the 9 vegetables, the engine determines the expected harvest month by adding the crop's gestation duration (2, 3, or 4 months). It then queries the PyTorch sequence model to project the farmgate price at harvest. Concurrently, local historical temperatures and rainfall for the district are evaluated against Department of Agriculture physiological thresholds to generate a climate match score. Finally, estimated costs, expected gross revenue, and net profit margins are calculated, generating an overall recommendation score (0 to 100) and sorting the crops into ranked advice cards.</w:t>
      </w:r>
    </w:p>
    <w:p>
      <w:pPr>
        <w:pStyle w:val="Heading2"/>
      </w:pPr>
      <w:r>
        <w:t>4.7 Functional and Non-Functional Requirements</w:t>
      </w:r>
    </w:p>
    <w:p>
      <w:r>
        <w:t>Table 4.1 specifies the core functional and non-functional requirements developed for the system.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296"/>
            <w:shd w:fill="15803D"/>
            <w:tcMar>
              <w:top w:w="120" w:type="dxa"/>
              <w:bottom w:w="120" w:type="dxa"/>
              <w:left w:w="160" w:type="dxa"/>
              <w:right w:w="160" w:type="dxa"/>
            </w:tcMar>
          </w:tcPr>
          <w:p>
            <w:pPr>
              <w:jc w:val="center"/>
            </w:pPr>
            <w:r>
              <w:rPr>
                <w:rFonts w:ascii="Calibri" w:hAnsi="Calibri"/>
                <w:b/>
                <w:color w:val="FFFFFF"/>
                <w:sz w:val="19"/>
              </w:rPr>
              <w:t>Req ID</w:t>
            </w:r>
          </w:p>
        </w:tc>
        <w:tc>
          <w:tcPr>
            <w:tcW w:type="dxa" w:w="2016"/>
            <w:shd w:fill="15803D"/>
            <w:tcMar>
              <w:top w:w="120" w:type="dxa"/>
              <w:bottom w:w="120" w:type="dxa"/>
              <w:left w:w="160" w:type="dxa"/>
              <w:right w:w="160" w:type="dxa"/>
            </w:tcMar>
          </w:tcPr>
          <w:p>
            <w:pPr>
              <w:jc w:val="center"/>
            </w:pPr>
            <w:r>
              <w:rPr>
                <w:rFonts w:ascii="Calibri" w:hAnsi="Calibri"/>
                <w:b/>
                <w:color w:val="FFFFFF"/>
                <w:sz w:val="19"/>
              </w:rPr>
              <w:t>Category</w:t>
            </w:r>
          </w:p>
        </w:tc>
        <w:tc>
          <w:tcPr>
            <w:tcW w:type="dxa" w:w="5472"/>
            <w:shd w:fill="15803D"/>
            <w:tcMar>
              <w:top w:w="120" w:type="dxa"/>
              <w:bottom w:w="120" w:type="dxa"/>
              <w:left w:w="160" w:type="dxa"/>
              <w:right w:w="160" w:type="dxa"/>
            </w:tcMar>
          </w:tcPr>
          <w:p>
            <w:pPr>
              <w:jc w:val="center"/>
            </w:pPr>
            <w:r>
              <w:rPr>
                <w:rFonts w:ascii="Calibri" w:hAnsi="Calibri"/>
                <w:b/>
                <w:color w:val="FFFFFF"/>
                <w:sz w:val="19"/>
              </w:rPr>
              <w:t>Requirement Description</w:t>
            </w:r>
          </w:p>
        </w:tc>
        <w:tc>
          <w:tcPr>
            <w:tcW w:type="dxa" w:w="1296"/>
            <w:shd w:fill="15803D"/>
            <w:tcMar>
              <w:top w:w="120" w:type="dxa"/>
              <w:bottom w:w="120" w:type="dxa"/>
              <w:left w:w="160" w:type="dxa"/>
              <w:right w:w="160" w:type="dxa"/>
            </w:tcMar>
          </w:tcPr>
          <w:p>
            <w:pPr>
              <w:jc w:val="center"/>
            </w:pPr>
            <w:r>
              <w:rPr>
                <w:rFonts w:ascii="Calibri" w:hAnsi="Calibri"/>
                <w:b/>
                <w:color w:val="FFFFFF"/>
                <w:sz w:val="19"/>
              </w:rPr>
              <w:t>Priority</w:t>
            </w:r>
          </w:p>
        </w:tc>
      </w:tr>
      <w:tr>
        <w:tc>
          <w:tcPr>
            <w:tcW w:type="dxa" w:w="1296"/>
            <w:shd w:fill="FFFFFF"/>
            <w:tcMar>
              <w:top w:w="90" w:type="dxa"/>
              <w:bottom w:w="90" w:type="dxa"/>
              <w:left w:w="140" w:type="dxa"/>
              <w:right w:w="140" w:type="dxa"/>
            </w:tcMar>
          </w:tcPr>
          <w:p>
            <w:pPr>
              <w:jc w:val="left"/>
            </w:pPr>
            <w:r>
              <w:rPr>
                <w:rFonts w:ascii="Calibri" w:hAnsi="Calibri"/>
                <w:color w:val="1E293B"/>
                <w:sz w:val="18"/>
              </w:rPr>
              <w:t>FR-01</w:t>
            </w:r>
          </w:p>
        </w:tc>
        <w:tc>
          <w:tcPr>
            <w:tcW w:type="dxa" w:w="2016"/>
            <w:shd w:fill="FFFFFF"/>
            <w:tcMar>
              <w:top w:w="90" w:type="dxa"/>
              <w:bottom w:w="90" w:type="dxa"/>
              <w:left w:w="140" w:type="dxa"/>
              <w:right w:w="140" w:type="dxa"/>
            </w:tcMar>
          </w:tcPr>
          <w:p>
            <w:r>
              <w:rPr>
                <w:rFonts w:ascii="Calibri" w:hAnsi="Calibri"/>
                <w:color w:val="1E293B"/>
                <w:sz w:val="18"/>
              </w:rPr>
              <w:t>Data Management</w:t>
            </w:r>
          </w:p>
        </w:tc>
        <w:tc>
          <w:tcPr>
            <w:tcW w:type="dxa" w:w="5472"/>
            <w:shd w:fill="FFFFFF"/>
            <w:tcMar>
              <w:top w:w="90" w:type="dxa"/>
              <w:bottom w:w="90" w:type="dxa"/>
              <w:left w:w="140" w:type="dxa"/>
              <w:right w:w="140" w:type="dxa"/>
            </w:tcMar>
          </w:tcPr>
          <w:p>
            <w:r>
              <w:rPr>
                <w:rFonts w:ascii="Calibri" w:hAnsi="Calibri"/>
                <w:color w:val="1E293B"/>
                <w:sz w:val="18"/>
              </w:rPr>
              <w:t>The system shall store historical monthly vegetable prices, 27-station meteorological records, and farmer survey data in a relational SQLite database.</w:t>
            </w:r>
          </w:p>
        </w:tc>
        <w:tc>
          <w:tcPr>
            <w:tcW w:type="dxa" w:w="1296"/>
            <w:shd w:fill="FFFFFF"/>
            <w:tcMar>
              <w:top w:w="90" w:type="dxa"/>
              <w:bottom w:w="90" w:type="dxa"/>
              <w:left w:w="140" w:type="dxa"/>
              <w:right w:w="140" w:type="dxa"/>
            </w:tcMar>
          </w:tcPr>
          <w:p>
            <w:r>
              <w:rPr>
                <w:rFonts w:ascii="Calibri" w:hAnsi="Calibri"/>
                <w:color w:val="1E293B"/>
                <w:sz w:val="18"/>
              </w:rPr>
              <w:t>High</w:t>
            </w:r>
          </w:p>
        </w:tc>
      </w:tr>
      <w:tr>
        <w:tc>
          <w:tcPr>
            <w:tcW w:type="dxa" w:w="1296"/>
            <w:shd w:fill="F0FDF4"/>
            <w:tcMar>
              <w:top w:w="90" w:type="dxa"/>
              <w:bottom w:w="90" w:type="dxa"/>
              <w:left w:w="140" w:type="dxa"/>
              <w:right w:w="140" w:type="dxa"/>
            </w:tcMar>
          </w:tcPr>
          <w:p>
            <w:pPr>
              <w:jc w:val="left"/>
            </w:pPr>
            <w:r>
              <w:rPr>
                <w:rFonts w:ascii="Calibri" w:hAnsi="Calibri"/>
                <w:color w:val="1E293B"/>
                <w:sz w:val="18"/>
              </w:rPr>
              <w:t>FR-02</w:t>
            </w:r>
          </w:p>
        </w:tc>
        <w:tc>
          <w:tcPr>
            <w:tcW w:type="dxa" w:w="2016"/>
            <w:shd w:fill="F0FDF4"/>
            <w:tcMar>
              <w:top w:w="90" w:type="dxa"/>
              <w:bottom w:w="90" w:type="dxa"/>
              <w:left w:w="140" w:type="dxa"/>
              <w:right w:w="140" w:type="dxa"/>
            </w:tcMar>
          </w:tcPr>
          <w:p>
            <w:r>
              <w:rPr>
                <w:rFonts w:ascii="Calibri" w:hAnsi="Calibri"/>
                <w:color w:val="1E293B"/>
                <w:sz w:val="18"/>
              </w:rPr>
              <w:t>Feature Engineering</w:t>
            </w:r>
          </w:p>
        </w:tc>
        <w:tc>
          <w:tcPr>
            <w:tcW w:type="dxa" w:w="5472"/>
            <w:shd w:fill="F0FDF4"/>
            <w:tcMar>
              <w:top w:w="90" w:type="dxa"/>
              <w:bottom w:w="90" w:type="dxa"/>
              <w:left w:w="140" w:type="dxa"/>
              <w:right w:w="140" w:type="dxa"/>
            </w:tcMar>
          </w:tcPr>
          <w:p>
            <w:r>
              <w:rPr>
                <w:rFonts w:ascii="Calibri" w:hAnsi="Calibri"/>
                <w:color w:val="1E293B"/>
                <w:sz w:val="18"/>
              </w:rPr>
              <w:t>The system shall compute cyclical month encodings (sin/cos), 1-month and 2-month price lags, and wholesale-retail price spreads automatically.</w:t>
            </w:r>
          </w:p>
        </w:tc>
        <w:tc>
          <w:tcPr>
            <w:tcW w:type="dxa" w:w="1296"/>
            <w:shd w:fill="F0FDF4"/>
            <w:tcMar>
              <w:top w:w="90" w:type="dxa"/>
              <w:bottom w:w="90" w:type="dxa"/>
              <w:left w:w="140" w:type="dxa"/>
              <w:right w:w="140" w:type="dxa"/>
            </w:tcMar>
          </w:tcPr>
          <w:p>
            <w:r>
              <w:rPr>
                <w:rFonts w:ascii="Calibri" w:hAnsi="Calibri"/>
                <w:color w:val="1E293B"/>
                <w:sz w:val="18"/>
              </w:rPr>
              <w:t>High</w:t>
            </w:r>
          </w:p>
        </w:tc>
      </w:tr>
      <w:tr>
        <w:tc>
          <w:tcPr>
            <w:tcW w:type="dxa" w:w="1296"/>
            <w:shd w:fill="FFFFFF"/>
            <w:tcMar>
              <w:top w:w="90" w:type="dxa"/>
              <w:bottom w:w="90" w:type="dxa"/>
              <w:left w:w="140" w:type="dxa"/>
              <w:right w:w="140" w:type="dxa"/>
            </w:tcMar>
          </w:tcPr>
          <w:p>
            <w:pPr>
              <w:jc w:val="left"/>
            </w:pPr>
            <w:r>
              <w:rPr>
                <w:rFonts w:ascii="Calibri" w:hAnsi="Calibri"/>
                <w:color w:val="1E293B"/>
                <w:sz w:val="18"/>
              </w:rPr>
              <w:t>FR-03</w:t>
            </w:r>
          </w:p>
        </w:tc>
        <w:tc>
          <w:tcPr>
            <w:tcW w:type="dxa" w:w="2016"/>
            <w:shd w:fill="FFFFFF"/>
            <w:tcMar>
              <w:top w:w="90" w:type="dxa"/>
              <w:bottom w:w="90" w:type="dxa"/>
              <w:left w:w="140" w:type="dxa"/>
              <w:right w:w="140" w:type="dxa"/>
            </w:tcMar>
          </w:tcPr>
          <w:p>
            <w:r>
              <w:rPr>
                <w:rFonts w:ascii="Calibri" w:hAnsi="Calibri"/>
                <w:color w:val="1E293B"/>
                <w:sz w:val="18"/>
              </w:rPr>
              <w:t>Price Forecasting</w:t>
            </w:r>
          </w:p>
        </w:tc>
        <w:tc>
          <w:tcPr>
            <w:tcW w:type="dxa" w:w="5472"/>
            <w:shd w:fill="FFFFFF"/>
            <w:tcMar>
              <w:top w:w="90" w:type="dxa"/>
              <w:bottom w:w="90" w:type="dxa"/>
              <w:left w:w="140" w:type="dxa"/>
              <w:right w:w="140" w:type="dxa"/>
            </w:tcMar>
          </w:tcPr>
          <w:p>
            <w:r>
              <w:rPr>
                <w:rFonts w:ascii="Calibri" w:hAnsi="Calibri"/>
                <w:color w:val="1E293B"/>
                <w:sz w:val="18"/>
              </w:rPr>
              <w:t>The system shall generate forward-looking farmgate price forecasts for 1 to 12 months using a PyTorch BiLSTM deep sequence model.</w:t>
            </w:r>
          </w:p>
        </w:tc>
        <w:tc>
          <w:tcPr>
            <w:tcW w:type="dxa" w:w="1296"/>
            <w:shd w:fill="FFFFFF"/>
            <w:tcMar>
              <w:top w:w="90" w:type="dxa"/>
              <w:bottom w:w="90" w:type="dxa"/>
              <w:left w:w="140" w:type="dxa"/>
              <w:right w:w="140" w:type="dxa"/>
            </w:tcMar>
          </w:tcPr>
          <w:p>
            <w:r>
              <w:rPr>
                <w:rFonts w:ascii="Calibri" w:hAnsi="Calibri"/>
                <w:color w:val="1E293B"/>
                <w:sz w:val="18"/>
              </w:rPr>
              <w:t>High</w:t>
            </w:r>
          </w:p>
        </w:tc>
      </w:tr>
      <w:tr>
        <w:tc>
          <w:tcPr>
            <w:tcW w:type="dxa" w:w="1296"/>
            <w:shd w:fill="F0FDF4"/>
            <w:tcMar>
              <w:top w:w="90" w:type="dxa"/>
              <w:bottom w:w="90" w:type="dxa"/>
              <w:left w:w="140" w:type="dxa"/>
              <w:right w:w="140" w:type="dxa"/>
            </w:tcMar>
          </w:tcPr>
          <w:p>
            <w:pPr>
              <w:jc w:val="left"/>
            </w:pPr>
            <w:r>
              <w:rPr>
                <w:rFonts w:ascii="Calibri" w:hAnsi="Calibri"/>
                <w:color w:val="1E293B"/>
                <w:sz w:val="18"/>
              </w:rPr>
              <w:t>FR-04</w:t>
            </w:r>
          </w:p>
        </w:tc>
        <w:tc>
          <w:tcPr>
            <w:tcW w:type="dxa" w:w="2016"/>
            <w:shd w:fill="F0FDF4"/>
            <w:tcMar>
              <w:top w:w="90" w:type="dxa"/>
              <w:bottom w:w="90" w:type="dxa"/>
              <w:left w:w="140" w:type="dxa"/>
              <w:right w:w="140" w:type="dxa"/>
            </w:tcMar>
          </w:tcPr>
          <w:p>
            <w:r>
              <w:rPr>
                <w:rFonts w:ascii="Calibri" w:hAnsi="Calibri"/>
                <w:color w:val="1E293B"/>
                <w:sz w:val="18"/>
              </w:rPr>
              <w:t>Inflation Compounding</w:t>
            </w:r>
          </w:p>
        </w:tc>
        <w:tc>
          <w:tcPr>
            <w:tcW w:type="dxa" w:w="5472"/>
            <w:shd w:fill="F0FDF4"/>
            <w:tcMar>
              <w:top w:w="90" w:type="dxa"/>
              <w:bottom w:w="90" w:type="dxa"/>
              <w:left w:w="140" w:type="dxa"/>
              <w:right w:w="140" w:type="dxa"/>
            </w:tcMar>
          </w:tcPr>
          <w:p>
            <w:r>
              <w:rPr>
                <w:rFonts w:ascii="Calibri" w:hAnsi="Calibri"/>
                <w:color w:val="1E293B"/>
                <w:sz w:val="18"/>
              </w:rPr>
              <w:t>The system shall dynamically adjust projected nominal and real prices based on user-specified annual market inflation rates.</w:t>
            </w:r>
          </w:p>
        </w:tc>
        <w:tc>
          <w:tcPr>
            <w:tcW w:type="dxa" w:w="1296"/>
            <w:shd w:fill="F0FDF4"/>
            <w:tcMar>
              <w:top w:w="90" w:type="dxa"/>
              <w:bottom w:w="90" w:type="dxa"/>
              <w:left w:w="140" w:type="dxa"/>
              <w:right w:w="140" w:type="dxa"/>
            </w:tcMar>
          </w:tcPr>
          <w:p>
            <w:r>
              <w:rPr>
                <w:rFonts w:ascii="Calibri" w:hAnsi="Calibri"/>
                <w:color w:val="1E293B"/>
                <w:sz w:val="18"/>
              </w:rPr>
              <w:t>Medium</w:t>
            </w:r>
          </w:p>
        </w:tc>
      </w:tr>
      <w:tr>
        <w:tc>
          <w:tcPr>
            <w:tcW w:type="dxa" w:w="1296"/>
            <w:shd w:fill="FFFFFF"/>
            <w:tcMar>
              <w:top w:w="90" w:type="dxa"/>
              <w:bottom w:w="90" w:type="dxa"/>
              <w:left w:w="140" w:type="dxa"/>
              <w:right w:w="140" w:type="dxa"/>
            </w:tcMar>
          </w:tcPr>
          <w:p>
            <w:pPr>
              <w:jc w:val="left"/>
            </w:pPr>
            <w:r>
              <w:rPr>
                <w:rFonts w:ascii="Calibri" w:hAnsi="Calibri"/>
                <w:color w:val="1E293B"/>
                <w:sz w:val="18"/>
              </w:rPr>
              <w:t>FR-05</w:t>
            </w:r>
          </w:p>
        </w:tc>
        <w:tc>
          <w:tcPr>
            <w:tcW w:type="dxa" w:w="2016"/>
            <w:shd w:fill="FFFFFF"/>
            <w:tcMar>
              <w:top w:w="90" w:type="dxa"/>
              <w:bottom w:w="90" w:type="dxa"/>
              <w:left w:w="140" w:type="dxa"/>
              <w:right w:w="140" w:type="dxa"/>
            </w:tcMar>
          </w:tcPr>
          <w:p>
            <w:r>
              <w:rPr>
                <w:rFonts w:ascii="Calibri" w:hAnsi="Calibri"/>
                <w:color w:val="1E293B"/>
                <w:sz w:val="18"/>
              </w:rPr>
              <w:t>Confidence Corridor</w:t>
            </w:r>
          </w:p>
        </w:tc>
        <w:tc>
          <w:tcPr>
            <w:tcW w:type="dxa" w:w="5472"/>
            <w:shd w:fill="FFFFFF"/>
            <w:tcMar>
              <w:top w:w="90" w:type="dxa"/>
              <w:bottom w:w="90" w:type="dxa"/>
              <w:left w:w="140" w:type="dxa"/>
              <w:right w:w="140" w:type="dxa"/>
            </w:tcMar>
          </w:tcPr>
          <w:p>
            <w:r>
              <w:rPr>
                <w:rFonts w:ascii="Calibri" w:hAnsi="Calibri"/>
                <w:color w:val="1E293B"/>
                <w:sz w:val="18"/>
              </w:rPr>
              <w:t>The system shall display a 90% confidence corridor around forecast curves based on historical residual standard deviations.</w:t>
            </w:r>
          </w:p>
        </w:tc>
        <w:tc>
          <w:tcPr>
            <w:tcW w:type="dxa" w:w="1296"/>
            <w:shd w:fill="FFFFFF"/>
            <w:tcMar>
              <w:top w:w="90" w:type="dxa"/>
              <w:bottom w:w="90" w:type="dxa"/>
              <w:left w:w="140" w:type="dxa"/>
              <w:right w:w="140" w:type="dxa"/>
            </w:tcMar>
          </w:tcPr>
          <w:p>
            <w:r>
              <w:rPr>
                <w:rFonts w:ascii="Calibri" w:hAnsi="Calibri"/>
                <w:color w:val="1E293B"/>
                <w:sz w:val="18"/>
              </w:rPr>
              <w:t>High</w:t>
            </w:r>
          </w:p>
        </w:tc>
      </w:tr>
      <w:tr>
        <w:tc>
          <w:tcPr>
            <w:tcW w:type="dxa" w:w="1296"/>
            <w:shd w:fill="F0FDF4"/>
            <w:tcMar>
              <w:top w:w="90" w:type="dxa"/>
              <w:bottom w:w="90" w:type="dxa"/>
              <w:left w:w="140" w:type="dxa"/>
              <w:right w:w="140" w:type="dxa"/>
            </w:tcMar>
          </w:tcPr>
          <w:p>
            <w:pPr>
              <w:jc w:val="left"/>
            </w:pPr>
            <w:r>
              <w:rPr>
                <w:rFonts w:ascii="Calibri" w:hAnsi="Calibri"/>
                <w:color w:val="1E293B"/>
                <w:sz w:val="18"/>
              </w:rPr>
              <w:t>FR-06</w:t>
            </w:r>
          </w:p>
        </w:tc>
        <w:tc>
          <w:tcPr>
            <w:tcW w:type="dxa" w:w="2016"/>
            <w:shd w:fill="F0FDF4"/>
            <w:tcMar>
              <w:top w:w="90" w:type="dxa"/>
              <w:bottom w:w="90" w:type="dxa"/>
              <w:left w:w="140" w:type="dxa"/>
              <w:right w:w="140" w:type="dxa"/>
            </w:tcMar>
          </w:tcPr>
          <w:p>
            <w:r>
              <w:rPr>
                <w:rFonts w:ascii="Calibri" w:hAnsi="Calibri"/>
                <w:color w:val="1E293B"/>
                <w:sz w:val="18"/>
              </w:rPr>
              <w:t>Crop Advisory</w:t>
            </w:r>
          </w:p>
        </w:tc>
        <w:tc>
          <w:tcPr>
            <w:tcW w:type="dxa" w:w="5472"/>
            <w:shd w:fill="F0FDF4"/>
            <w:tcMar>
              <w:top w:w="90" w:type="dxa"/>
              <w:bottom w:w="90" w:type="dxa"/>
              <w:left w:w="140" w:type="dxa"/>
              <w:right w:w="140" w:type="dxa"/>
            </w:tcMar>
          </w:tcPr>
          <w:p>
            <w:r>
              <w:rPr>
                <w:rFonts w:ascii="Calibri" w:hAnsi="Calibri"/>
                <w:color w:val="1E293B"/>
                <w:sz w:val="18"/>
              </w:rPr>
              <w:t>The system shall match planting months to harvest months and score crops based on climate suitability, production costs, and expected profit.</w:t>
            </w:r>
          </w:p>
        </w:tc>
        <w:tc>
          <w:tcPr>
            <w:tcW w:type="dxa" w:w="1296"/>
            <w:shd w:fill="F0FDF4"/>
            <w:tcMar>
              <w:top w:w="90" w:type="dxa"/>
              <w:bottom w:w="90" w:type="dxa"/>
              <w:left w:w="140" w:type="dxa"/>
              <w:right w:w="140" w:type="dxa"/>
            </w:tcMar>
          </w:tcPr>
          <w:p>
            <w:r>
              <w:rPr>
                <w:rFonts w:ascii="Calibri" w:hAnsi="Calibri"/>
                <w:color w:val="1E293B"/>
                <w:sz w:val="18"/>
              </w:rPr>
              <w:t>High</w:t>
            </w:r>
          </w:p>
        </w:tc>
      </w:tr>
      <w:tr>
        <w:tc>
          <w:tcPr>
            <w:tcW w:type="dxa" w:w="1296"/>
            <w:shd w:fill="FFFFFF"/>
            <w:tcMar>
              <w:top w:w="90" w:type="dxa"/>
              <w:bottom w:w="90" w:type="dxa"/>
              <w:left w:w="140" w:type="dxa"/>
              <w:right w:w="140" w:type="dxa"/>
            </w:tcMar>
          </w:tcPr>
          <w:p>
            <w:pPr>
              <w:jc w:val="left"/>
            </w:pPr>
            <w:r>
              <w:rPr>
                <w:rFonts w:ascii="Calibri" w:hAnsi="Calibri"/>
                <w:color w:val="1E293B"/>
                <w:sz w:val="18"/>
              </w:rPr>
              <w:t>FR-07</w:t>
            </w:r>
          </w:p>
        </w:tc>
        <w:tc>
          <w:tcPr>
            <w:tcW w:type="dxa" w:w="2016"/>
            <w:shd w:fill="FFFFFF"/>
            <w:tcMar>
              <w:top w:w="90" w:type="dxa"/>
              <w:bottom w:w="90" w:type="dxa"/>
              <w:left w:w="140" w:type="dxa"/>
              <w:right w:w="140" w:type="dxa"/>
            </w:tcMar>
          </w:tcPr>
          <w:p>
            <w:r>
              <w:rPr>
                <w:rFonts w:ascii="Calibri" w:hAnsi="Calibri"/>
                <w:color w:val="1E293B"/>
                <w:sz w:val="18"/>
              </w:rPr>
              <w:t>CSV Export</w:t>
            </w:r>
          </w:p>
        </w:tc>
        <w:tc>
          <w:tcPr>
            <w:tcW w:type="dxa" w:w="5472"/>
            <w:shd w:fill="FFFFFF"/>
            <w:tcMar>
              <w:top w:w="90" w:type="dxa"/>
              <w:bottom w:w="90" w:type="dxa"/>
              <w:left w:w="140" w:type="dxa"/>
              <w:right w:w="140" w:type="dxa"/>
            </w:tcMar>
          </w:tcPr>
          <w:p>
            <w:r>
              <w:rPr>
                <w:rFonts w:ascii="Calibri" w:hAnsi="Calibri"/>
                <w:color w:val="1E293B"/>
                <w:sz w:val="18"/>
              </w:rPr>
              <w:t>The system shall allow users to export crop recommendation ranking tables to CSV format for offline field use.</w:t>
            </w:r>
          </w:p>
        </w:tc>
        <w:tc>
          <w:tcPr>
            <w:tcW w:type="dxa" w:w="1296"/>
            <w:shd w:fill="FFFFFF"/>
            <w:tcMar>
              <w:top w:w="90" w:type="dxa"/>
              <w:bottom w:w="90" w:type="dxa"/>
              <w:left w:w="140" w:type="dxa"/>
              <w:right w:w="140" w:type="dxa"/>
            </w:tcMar>
          </w:tcPr>
          <w:p>
            <w:r>
              <w:rPr>
                <w:rFonts w:ascii="Calibri" w:hAnsi="Calibri"/>
                <w:color w:val="1E293B"/>
                <w:sz w:val="18"/>
              </w:rPr>
              <w:t>Low</w:t>
            </w:r>
          </w:p>
        </w:tc>
      </w:tr>
      <w:tr>
        <w:tc>
          <w:tcPr>
            <w:tcW w:type="dxa" w:w="1296"/>
            <w:shd w:fill="F0FDF4"/>
            <w:tcMar>
              <w:top w:w="90" w:type="dxa"/>
              <w:bottom w:w="90" w:type="dxa"/>
              <w:left w:w="140" w:type="dxa"/>
              <w:right w:w="140" w:type="dxa"/>
            </w:tcMar>
          </w:tcPr>
          <w:p>
            <w:pPr>
              <w:jc w:val="left"/>
            </w:pPr>
            <w:r>
              <w:rPr>
                <w:rFonts w:ascii="Calibri" w:hAnsi="Calibri"/>
                <w:color w:val="1E293B"/>
                <w:sz w:val="18"/>
              </w:rPr>
              <w:t>NFR-01</w:t>
            </w:r>
          </w:p>
        </w:tc>
        <w:tc>
          <w:tcPr>
            <w:tcW w:type="dxa" w:w="2016"/>
            <w:shd w:fill="F0FDF4"/>
            <w:tcMar>
              <w:top w:w="90" w:type="dxa"/>
              <w:bottom w:w="90" w:type="dxa"/>
              <w:left w:w="140" w:type="dxa"/>
              <w:right w:w="140" w:type="dxa"/>
            </w:tcMar>
          </w:tcPr>
          <w:p>
            <w:r>
              <w:rPr>
                <w:rFonts w:ascii="Calibri" w:hAnsi="Calibri"/>
                <w:color w:val="1E293B"/>
                <w:sz w:val="18"/>
              </w:rPr>
              <w:t>Response Time</w:t>
            </w:r>
          </w:p>
        </w:tc>
        <w:tc>
          <w:tcPr>
            <w:tcW w:type="dxa" w:w="5472"/>
            <w:shd w:fill="F0FDF4"/>
            <w:tcMar>
              <w:top w:w="90" w:type="dxa"/>
              <w:bottom w:w="90" w:type="dxa"/>
              <w:left w:w="140" w:type="dxa"/>
              <w:right w:w="140" w:type="dxa"/>
            </w:tcMar>
          </w:tcPr>
          <w:p>
            <w:r>
              <w:rPr>
                <w:rFonts w:ascii="Calibri" w:hAnsi="Calibri"/>
                <w:color w:val="1E293B"/>
                <w:sz w:val="18"/>
              </w:rPr>
              <w:t>The dashboard shall load and execute sequence inference within 3.0 seconds on standard broadband connections.</w:t>
            </w:r>
          </w:p>
        </w:tc>
        <w:tc>
          <w:tcPr>
            <w:tcW w:type="dxa" w:w="1296"/>
            <w:shd w:fill="F0FDF4"/>
            <w:tcMar>
              <w:top w:w="90" w:type="dxa"/>
              <w:bottom w:w="90" w:type="dxa"/>
              <w:left w:w="140" w:type="dxa"/>
              <w:right w:w="140" w:type="dxa"/>
            </w:tcMar>
          </w:tcPr>
          <w:p>
            <w:r>
              <w:rPr>
                <w:rFonts w:ascii="Calibri" w:hAnsi="Calibri"/>
                <w:color w:val="1E293B"/>
                <w:sz w:val="18"/>
              </w:rPr>
              <w:t>High</w:t>
            </w:r>
          </w:p>
        </w:tc>
      </w:tr>
      <w:tr>
        <w:tc>
          <w:tcPr>
            <w:tcW w:type="dxa" w:w="1296"/>
            <w:shd w:fill="FFFFFF"/>
            <w:tcMar>
              <w:top w:w="90" w:type="dxa"/>
              <w:bottom w:w="90" w:type="dxa"/>
              <w:left w:w="140" w:type="dxa"/>
              <w:right w:w="140" w:type="dxa"/>
            </w:tcMar>
          </w:tcPr>
          <w:p>
            <w:pPr>
              <w:jc w:val="left"/>
            </w:pPr>
            <w:r>
              <w:rPr>
                <w:rFonts w:ascii="Calibri" w:hAnsi="Calibri"/>
                <w:color w:val="1E293B"/>
                <w:sz w:val="18"/>
              </w:rPr>
              <w:t>NFR-02</w:t>
            </w:r>
          </w:p>
        </w:tc>
        <w:tc>
          <w:tcPr>
            <w:tcW w:type="dxa" w:w="2016"/>
            <w:shd w:fill="FFFFFF"/>
            <w:tcMar>
              <w:top w:w="90" w:type="dxa"/>
              <w:bottom w:w="90" w:type="dxa"/>
              <w:left w:w="140" w:type="dxa"/>
              <w:right w:w="140" w:type="dxa"/>
            </w:tcMar>
          </w:tcPr>
          <w:p>
            <w:r>
              <w:rPr>
                <w:rFonts w:ascii="Calibri" w:hAnsi="Calibri"/>
                <w:color w:val="1E293B"/>
                <w:sz w:val="18"/>
              </w:rPr>
              <w:t>Usability</w:t>
            </w:r>
          </w:p>
        </w:tc>
        <w:tc>
          <w:tcPr>
            <w:tcW w:type="dxa" w:w="5472"/>
            <w:shd w:fill="FFFFFF"/>
            <w:tcMar>
              <w:top w:w="90" w:type="dxa"/>
              <w:bottom w:w="90" w:type="dxa"/>
              <w:left w:w="140" w:type="dxa"/>
              <w:right w:w="140" w:type="dxa"/>
            </w:tcMar>
          </w:tcPr>
          <w:p>
            <w:r>
              <w:rPr>
                <w:rFonts w:ascii="Calibri" w:hAnsi="Calibri"/>
                <w:color w:val="1E293B"/>
                <w:sz w:val="18"/>
              </w:rPr>
              <w:t>The user interface shall be clean, professional, free of emojis, and easily readable on mobile and desktop screens.</w:t>
            </w:r>
          </w:p>
        </w:tc>
        <w:tc>
          <w:tcPr>
            <w:tcW w:type="dxa" w:w="1296"/>
            <w:shd w:fill="FFFFFF"/>
            <w:tcMar>
              <w:top w:w="90" w:type="dxa"/>
              <w:bottom w:w="90" w:type="dxa"/>
              <w:left w:w="140" w:type="dxa"/>
              <w:right w:w="140" w:type="dxa"/>
            </w:tcMar>
          </w:tcPr>
          <w:p>
            <w:r>
              <w:rPr>
                <w:rFonts w:ascii="Calibri" w:hAnsi="Calibri"/>
                <w:color w:val="1E293B"/>
                <w:sz w:val="18"/>
              </w:rPr>
              <w:t>High</w:t>
            </w:r>
          </w:p>
        </w:tc>
      </w:tr>
      <w:tr>
        <w:tc>
          <w:tcPr>
            <w:tcW w:type="dxa" w:w="1296"/>
            <w:shd w:fill="F0FDF4"/>
            <w:tcMar>
              <w:top w:w="90" w:type="dxa"/>
              <w:bottom w:w="90" w:type="dxa"/>
              <w:left w:w="140" w:type="dxa"/>
              <w:right w:w="140" w:type="dxa"/>
            </w:tcMar>
          </w:tcPr>
          <w:p>
            <w:pPr>
              <w:jc w:val="left"/>
            </w:pPr>
            <w:r>
              <w:rPr>
                <w:rFonts w:ascii="Calibri" w:hAnsi="Calibri"/>
                <w:color w:val="1E293B"/>
                <w:sz w:val="18"/>
              </w:rPr>
              <w:t>NFR-03</w:t>
            </w:r>
          </w:p>
        </w:tc>
        <w:tc>
          <w:tcPr>
            <w:tcW w:type="dxa" w:w="2016"/>
            <w:shd w:fill="F0FDF4"/>
            <w:tcMar>
              <w:top w:w="90" w:type="dxa"/>
              <w:bottom w:w="90" w:type="dxa"/>
              <w:left w:w="140" w:type="dxa"/>
              <w:right w:w="140" w:type="dxa"/>
            </w:tcMar>
          </w:tcPr>
          <w:p>
            <w:r>
              <w:rPr>
                <w:rFonts w:ascii="Calibri" w:hAnsi="Calibri"/>
                <w:color w:val="1E293B"/>
                <w:sz w:val="18"/>
              </w:rPr>
              <w:t>Data Integrity</w:t>
            </w:r>
          </w:p>
        </w:tc>
        <w:tc>
          <w:tcPr>
            <w:tcW w:type="dxa" w:w="5472"/>
            <w:shd w:fill="F0FDF4"/>
            <w:tcMar>
              <w:top w:w="90" w:type="dxa"/>
              <w:bottom w:w="90" w:type="dxa"/>
              <w:left w:w="140" w:type="dxa"/>
              <w:right w:w="140" w:type="dxa"/>
            </w:tcMar>
          </w:tcPr>
          <w:p>
            <w:r>
              <w:rPr>
                <w:rFonts w:ascii="Calibri" w:hAnsi="Calibri"/>
                <w:color w:val="1E293B"/>
                <w:sz w:val="18"/>
              </w:rPr>
              <w:t>Database transactions and foreign key relationships shall be enforced, with zero missing values in analytical features.</w:t>
            </w:r>
          </w:p>
        </w:tc>
        <w:tc>
          <w:tcPr>
            <w:tcW w:type="dxa" w:w="1296"/>
            <w:shd w:fill="F0FDF4"/>
            <w:tcMar>
              <w:top w:w="90" w:type="dxa"/>
              <w:bottom w:w="90" w:type="dxa"/>
              <w:left w:w="140" w:type="dxa"/>
              <w:right w:w="140" w:type="dxa"/>
            </w:tcMar>
          </w:tcPr>
          <w:p>
            <w:r>
              <w:rPr>
                <w:rFonts w:ascii="Calibri" w:hAnsi="Calibri"/>
                <w:color w:val="1E293B"/>
                <w:sz w:val="18"/>
              </w:rPr>
              <w:t>High</w:t>
            </w:r>
          </w:p>
        </w:tc>
      </w:tr>
      <w:tr>
        <w:tc>
          <w:tcPr>
            <w:tcW w:type="dxa" w:w="1296"/>
            <w:shd w:fill="FFFFFF"/>
            <w:tcMar>
              <w:top w:w="90" w:type="dxa"/>
              <w:bottom w:w="90" w:type="dxa"/>
              <w:left w:w="140" w:type="dxa"/>
              <w:right w:w="140" w:type="dxa"/>
            </w:tcMar>
          </w:tcPr>
          <w:p>
            <w:pPr>
              <w:jc w:val="left"/>
            </w:pPr>
            <w:r>
              <w:rPr>
                <w:rFonts w:ascii="Calibri" w:hAnsi="Calibri"/>
                <w:color w:val="1E293B"/>
                <w:sz w:val="18"/>
              </w:rPr>
              <w:t>NFR-04</w:t>
            </w:r>
          </w:p>
        </w:tc>
        <w:tc>
          <w:tcPr>
            <w:tcW w:type="dxa" w:w="2016"/>
            <w:shd w:fill="FFFFFF"/>
            <w:tcMar>
              <w:top w:w="90" w:type="dxa"/>
              <w:bottom w:w="90" w:type="dxa"/>
              <w:left w:w="140" w:type="dxa"/>
              <w:right w:w="140" w:type="dxa"/>
            </w:tcMar>
          </w:tcPr>
          <w:p>
            <w:r>
              <w:rPr>
                <w:rFonts w:ascii="Calibri" w:hAnsi="Calibri"/>
                <w:color w:val="1E293B"/>
                <w:sz w:val="18"/>
              </w:rPr>
              <w:t>Portability</w:t>
            </w:r>
          </w:p>
        </w:tc>
        <w:tc>
          <w:tcPr>
            <w:tcW w:type="dxa" w:w="5472"/>
            <w:shd w:fill="FFFFFF"/>
            <w:tcMar>
              <w:top w:w="90" w:type="dxa"/>
              <w:bottom w:w="90" w:type="dxa"/>
              <w:left w:w="140" w:type="dxa"/>
              <w:right w:w="140" w:type="dxa"/>
            </w:tcMar>
          </w:tcPr>
          <w:p>
            <w:r>
              <w:rPr>
                <w:rFonts w:ascii="Calibri" w:hAnsi="Calibri"/>
                <w:color w:val="1E293B"/>
                <w:sz w:val="18"/>
              </w:rPr>
              <w:t>The application shall run cross-platform on macOS, Linux, and Windows, and deploy smoothly to Streamlit Community Cloud.</w:t>
            </w:r>
          </w:p>
        </w:tc>
        <w:tc>
          <w:tcPr>
            <w:tcW w:type="dxa" w:w="1296"/>
            <w:shd w:fill="FFFFFF"/>
            <w:tcMar>
              <w:top w:w="90" w:type="dxa"/>
              <w:bottom w:w="90" w:type="dxa"/>
              <w:left w:w="140" w:type="dxa"/>
              <w:right w:w="140" w:type="dxa"/>
            </w:tcMar>
          </w:tcPr>
          <w:p>
            <w:r>
              <w:rPr>
                <w:rFonts w:ascii="Calibri" w:hAnsi="Calibri"/>
                <w:color w:val="1E293B"/>
                <w:sz w:val="18"/>
              </w:rPr>
              <w:t>High</w:t>
            </w:r>
          </w:p>
        </w:tc>
      </w:tr>
    </w:tbl>
    <w:p/>
    <w:p>
      <w:pPr>
        <w:pStyle w:val="Heading2"/>
      </w:pPr>
      <w:r>
        <w:t>4.8 Chapter Summary</w:t>
      </w:r>
    </w:p>
    <w:p>
      <w:r>
        <w:t>This chapter detailed the System Requirement Specification. It analyzed the key stakeholders, explained the survey operationalization process, presented the four-tier architecture, documented UML Use Case and Activity diagrams, and specified functional and non-functional requirements. Chapter 5 explains the system implementation, algorithm design, and user interface features.</w:t>
      </w:r>
    </w:p>
    <w:p>
      <w:r>
        <w:br w:type="page"/>
      </w:r>
    </w:p>
    <w:p>
      <w:pPr>
        <w:pStyle w:val="Heading1"/>
      </w:pPr>
      <w:r>
        <w:t>Chapter 5: Implementation and Designing</w:t>
      </w:r>
    </w:p>
    <w:p>
      <w:pPr>
        <w:pStyle w:val="Heading2"/>
      </w:pPr>
      <w:r>
        <w:t>5.1 Chapter Overview</w:t>
      </w:r>
    </w:p>
    <w:p>
      <w:r>
        <w:t>This chapter describes the implementation of the Sri Lanka Agri-MIS platform. It covers the automated data preprocessing pipeline and SQLite database construction, details the PyTorch BiLSTM neural network architecture and sliding sequence logic, explains the crop recommendation mathematical model, justifies the technology stack, and presents screenshots of the working user interface modules.</w:t>
      </w:r>
    </w:p>
    <w:p>
      <w:pPr>
        <w:pStyle w:val="Heading2"/>
      </w:pPr>
      <w:r>
        <w:t>5.2 Data Preprocessing and SQLite Database Pipeline</w:t>
      </w:r>
    </w:p>
    <w:p>
      <w:r>
        <w:t>Raw agricultural and meteorological data were collected in different formats and temporal resolutions. The preprocessing script (src/data_preprocessing.py) performs four automated stages: (1) Weather Aggregation: Aggregates 142,371 daily records from 27 meteorological stations into monthly metrics, calculating average, maximum, and minimum ambient temperatures, total monthly rainfall, rainy day counts, sunshine duration, and reference evapotranspiration (et0). (2) Price Feature Engineering: Merges monthly crop prices with weather variables, introduces 1-month and 2-month price lags, computes Pettah and Dambulla intermediary retail spreads, and calculates cyclical month encodings using month_sin = sin(2 * pi * month / 12) and month_cos = cos(2 * pi * month / 12). (3) Survey Translation: Translates Sinhala survey responses from Badulla and Welimada smallholders into standardized English and groups related concepts into structured categories (farming experience tiers, land sizes, and volatility causes). (4) SQLite Relational Storage: Creates indexed tables in data_processed/agriculture_mis.db, ensuring fast queries without external database server overhead.</w:t>
      </w:r>
    </w:p>
    <w:p>
      <w:pPr>
        <w:pStyle w:val="Heading2"/>
      </w:pPr>
      <w:r>
        <w:t>5.3 PyTorch Deep Learning Sequence Model Architecture</w:t>
      </w:r>
    </w:p>
    <w:p>
      <w:r>
        <w:t>The core forecasting model (src/model_pytorch.py) is implemented in PyTorch using a multivariate sequence network designed for multi-horizon price prediction. The network incorporates three primary components:</w:t>
      </w:r>
    </w:p>
    <w:p>
      <w:r>
        <w:t>1. Crop Entity Embedding: Because the dataset covers 9 distinct vegetables with different baseline price scales, each crop is assigned a learnable 8-dimensional entity embedding vector. This vector allows the network to learn shared agricultural dynamics (such as general monsoon shocks) while maintaining crop-specific price representations.</w:t>
        <w:br/>
        <w:t>2. Bidirectional LSTM Backbone: A 2-layer BiLSTM network with a hidden dimension of 64 units processes the combined input sequence (16 numerical features plus the 8-dimensional crop embedding). The sliding window uses a sequence length of 6 historical months to capture seasonal planting-to-harvest patterns. Dropout regularization (0.2) is applied between LSTM layers to prevent overfitting on smaller crop subsets.</w:t>
        <w:br/>
        <w:t>3. Multi-Head Temporal Attention: The outputs of the forward and backward LSTM passes are processed by a multi-head temporal attention layer (4 attention heads). This mechanism allows the model to focus selectively on specific historical months where extreme climate anomalies occurred, such as severe drought during flowering or excessive rain during bulb formation.</w:t>
        <w:br/>
        <w:t>4. Multi-Horizon Linear Projection: The context vector from the attention layer is projected through fully connected linear layers with ReLU activation to output predicted farmgate prices across 1 to 12 future horizons.</w:t>
      </w:r>
    </w:p>
    <w:p>
      <w:r>
        <w:t>Inflation compounding is applied during post-processing using the formula: P_nominal(t + k) = P_base * (1 + r_monthly)^k * (1 + delta_model(k)), where r_monthly = (1 + r_annual)^(1/12) - 1. A 90% confidence corridor is generated using the formula P_nominal +/- 1.645 * sigma_residual, providing smallholders with an honest view of forecast uncertainty.</w:t>
      </w:r>
    </w:p>
    <w:p>
      <w:pPr>
        <w:pStyle w:val="Heading2"/>
      </w:pPr>
      <w:r>
        <w:t>5.4 Crop Plantation Recommendation Engine Logic</w:t>
      </w:r>
    </w:p>
    <w:p>
      <w:r>
        <w:t>The crop plantation recommendation engine (src/recommendation_engine.py) translates model price forecasts into practical farming advice. Table 5.1 displays the Department of Agriculture agronomic benchmark database established for the 9 evaluated crops.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440"/>
            <w:shd w:fill="15803D"/>
            <w:tcMar>
              <w:top w:w="120" w:type="dxa"/>
              <w:bottom w:w="120" w:type="dxa"/>
              <w:left w:w="160" w:type="dxa"/>
              <w:right w:w="160" w:type="dxa"/>
            </w:tcMar>
          </w:tcPr>
          <w:p>
            <w:pPr>
              <w:jc w:val="center"/>
            </w:pPr>
            <w:r>
              <w:rPr>
                <w:rFonts w:ascii="Calibri" w:hAnsi="Calibri"/>
                <w:b/>
                <w:color w:val="FFFFFF"/>
                <w:sz w:val="19"/>
              </w:rPr>
              <w:t>Crop Name</w:t>
            </w:r>
          </w:p>
        </w:tc>
        <w:tc>
          <w:tcPr>
            <w:tcW w:type="dxa" w:w="1152"/>
            <w:shd w:fill="15803D"/>
            <w:tcMar>
              <w:top w:w="120" w:type="dxa"/>
              <w:bottom w:w="120" w:type="dxa"/>
              <w:left w:w="160" w:type="dxa"/>
              <w:right w:w="160" w:type="dxa"/>
            </w:tcMar>
          </w:tcPr>
          <w:p>
            <w:pPr>
              <w:jc w:val="center"/>
            </w:pPr>
            <w:r>
              <w:rPr>
                <w:rFonts w:ascii="Calibri" w:hAnsi="Calibri"/>
                <w:b/>
                <w:color w:val="FFFFFF"/>
                <w:sz w:val="19"/>
              </w:rPr>
              <w:t>Cycle</w:t>
            </w:r>
          </w:p>
        </w:tc>
        <w:tc>
          <w:tcPr>
            <w:tcW w:type="dxa" w:w="1728"/>
            <w:shd w:fill="15803D"/>
            <w:tcMar>
              <w:top w:w="120" w:type="dxa"/>
              <w:bottom w:w="120" w:type="dxa"/>
              <w:left w:w="160" w:type="dxa"/>
              <w:right w:w="160" w:type="dxa"/>
            </w:tcMar>
          </w:tcPr>
          <w:p>
            <w:pPr>
              <w:jc w:val="center"/>
            </w:pPr>
            <w:r>
              <w:rPr>
                <w:rFonts w:ascii="Calibri" w:hAnsi="Calibri"/>
                <w:b/>
                <w:color w:val="FFFFFF"/>
                <w:sz w:val="19"/>
              </w:rPr>
              <w:t>Ideal Temp (°C)</w:t>
            </w:r>
          </w:p>
        </w:tc>
        <w:tc>
          <w:tcPr>
            <w:tcW w:type="dxa" w:w="1728"/>
            <w:shd w:fill="15803D"/>
            <w:tcMar>
              <w:top w:w="120" w:type="dxa"/>
              <w:bottom w:w="120" w:type="dxa"/>
              <w:left w:w="160" w:type="dxa"/>
              <w:right w:w="160" w:type="dxa"/>
            </w:tcMar>
          </w:tcPr>
          <w:p>
            <w:pPr>
              <w:jc w:val="center"/>
            </w:pPr>
            <w:r>
              <w:rPr>
                <w:rFonts w:ascii="Calibri" w:hAnsi="Calibri"/>
                <w:b/>
                <w:color w:val="FFFFFF"/>
                <w:sz w:val="19"/>
              </w:rPr>
              <w:t>Ideal Rain (mm)</w:t>
            </w:r>
          </w:p>
        </w:tc>
        <w:tc>
          <w:tcPr>
            <w:tcW w:type="dxa" w:w="1440"/>
            <w:shd w:fill="15803D"/>
            <w:tcMar>
              <w:top w:w="120" w:type="dxa"/>
              <w:bottom w:w="120" w:type="dxa"/>
              <w:left w:w="160" w:type="dxa"/>
              <w:right w:w="160" w:type="dxa"/>
            </w:tcMar>
          </w:tcPr>
          <w:p>
            <w:pPr>
              <w:jc w:val="center"/>
            </w:pPr>
            <w:r>
              <w:rPr>
                <w:rFonts w:ascii="Calibri" w:hAnsi="Calibri"/>
                <w:b/>
                <w:color w:val="FFFFFF"/>
                <w:sz w:val="19"/>
              </w:rPr>
              <w:t>Yield / Acre</w:t>
            </w:r>
          </w:p>
        </w:tc>
        <w:tc>
          <w:tcPr>
            <w:tcW w:type="dxa" w:w="1440"/>
            <w:shd w:fill="15803D"/>
            <w:tcMar>
              <w:top w:w="120" w:type="dxa"/>
              <w:bottom w:w="120" w:type="dxa"/>
              <w:left w:w="160" w:type="dxa"/>
              <w:right w:w="160" w:type="dxa"/>
            </w:tcMar>
          </w:tcPr>
          <w:p>
            <w:pPr>
              <w:jc w:val="center"/>
            </w:pPr>
            <w:r>
              <w:rPr>
                <w:rFonts w:ascii="Calibri" w:hAnsi="Calibri"/>
                <w:b/>
                <w:color w:val="FFFFFF"/>
                <w:sz w:val="19"/>
              </w:rPr>
              <w:t>Cost / kg</w:t>
            </w:r>
          </w:p>
        </w:tc>
        <w:tc>
          <w:tcPr>
            <w:tcW w:type="dxa" w:w="2592"/>
            <w:shd w:fill="15803D"/>
            <w:tcMar>
              <w:top w:w="120" w:type="dxa"/>
              <w:bottom w:w="120" w:type="dxa"/>
              <w:left w:w="160" w:type="dxa"/>
              <w:right w:w="160" w:type="dxa"/>
            </w:tcMar>
          </w:tcPr>
          <w:p>
            <w:pPr>
              <w:jc w:val="center"/>
            </w:pPr>
            <w:r>
              <w:rPr>
                <w:rFonts w:ascii="Calibri" w:hAnsi="Calibri"/>
                <w:b/>
                <w:color w:val="FFFFFF"/>
                <w:sz w:val="19"/>
              </w:rPr>
              <w:t>Primary Zones</w:t>
            </w:r>
          </w:p>
        </w:tc>
      </w:tr>
      <w:tr>
        <w:tc>
          <w:tcPr>
            <w:tcW w:type="dxa" w:w="1440"/>
            <w:shd w:fill="FFFFFF"/>
            <w:tcMar>
              <w:top w:w="90" w:type="dxa"/>
              <w:bottom w:w="90" w:type="dxa"/>
              <w:left w:w="140" w:type="dxa"/>
              <w:right w:w="140" w:type="dxa"/>
            </w:tcMar>
          </w:tcPr>
          <w:p>
            <w:pPr>
              <w:jc w:val="left"/>
            </w:pPr>
            <w:r>
              <w:rPr>
                <w:rFonts w:ascii="Calibri" w:hAnsi="Calibri"/>
                <w:color w:val="1E293B"/>
                <w:sz w:val="18"/>
              </w:rPr>
              <w:t>Beans</w:t>
            </w:r>
          </w:p>
        </w:tc>
        <w:tc>
          <w:tcPr>
            <w:tcW w:type="dxa" w:w="1152"/>
            <w:shd w:fill="FFFFFF"/>
            <w:tcMar>
              <w:top w:w="90" w:type="dxa"/>
              <w:bottom w:w="90" w:type="dxa"/>
              <w:left w:w="140" w:type="dxa"/>
              <w:right w:w="140" w:type="dxa"/>
            </w:tcMar>
          </w:tcPr>
          <w:p>
            <w:r>
              <w:rPr>
                <w:rFonts w:ascii="Calibri" w:hAnsi="Calibri"/>
                <w:color w:val="1E293B"/>
                <w:sz w:val="18"/>
              </w:rPr>
              <w:t>2 months</w:t>
            </w:r>
          </w:p>
        </w:tc>
        <w:tc>
          <w:tcPr>
            <w:tcW w:type="dxa" w:w="1728"/>
            <w:shd w:fill="FFFFFF"/>
            <w:tcMar>
              <w:top w:w="90" w:type="dxa"/>
              <w:bottom w:w="90" w:type="dxa"/>
              <w:left w:w="140" w:type="dxa"/>
              <w:right w:w="140" w:type="dxa"/>
            </w:tcMar>
          </w:tcPr>
          <w:p>
            <w:r>
              <w:rPr>
                <w:rFonts w:ascii="Calibri" w:hAnsi="Calibri"/>
                <w:color w:val="1E293B"/>
                <w:sz w:val="18"/>
              </w:rPr>
              <w:t>18.0 - 28.0</w:t>
            </w:r>
          </w:p>
        </w:tc>
        <w:tc>
          <w:tcPr>
            <w:tcW w:type="dxa" w:w="1728"/>
            <w:shd w:fill="FFFFFF"/>
            <w:tcMar>
              <w:top w:w="90" w:type="dxa"/>
              <w:bottom w:w="90" w:type="dxa"/>
              <w:left w:w="140" w:type="dxa"/>
              <w:right w:w="140" w:type="dxa"/>
            </w:tcMar>
          </w:tcPr>
          <w:p>
            <w:r>
              <w:rPr>
                <w:rFonts w:ascii="Calibri" w:hAnsi="Calibri"/>
                <w:color w:val="1E293B"/>
                <w:sz w:val="18"/>
              </w:rPr>
              <w:t>80.0 - 200.0</w:t>
            </w:r>
          </w:p>
        </w:tc>
        <w:tc>
          <w:tcPr>
            <w:tcW w:type="dxa" w:w="1440"/>
            <w:shd w:fill="FFFFFF"/>
            <w:tcMar>
              <w:top w:w="90" w:type="dxa"/>
              <w:bottom w:w="90" w:type="dxa"/>
              <w:left w:w="140" w:type="dxa"/>
              <w:right w:w="140" w:type="dxa"/>
            </w:tcMar>
          </w:tcPr>
          <w:p>
            <w:r>
              <w:rPr>
                <w:rFonts w:ascii="Calibri" w:hAnsi="Calibri"/>
                <w:color w:val="1E293B"/>
                <w:sz w:val="18"/>
              </w:rPr>
              <w:t>4,000 kg</w:t>
            </w:r>
          </w:p>
        </w:tc>
        <w:tc>
          <w:tcPr>
            <w:tcW w:type="dxa" w:w="1440"/>
            <w:shd w:fill="FFFFFF"/>
            <w:tcMar>
              <w:top w:w="90" w:type="dxa"/>
              <w:bottom w:w="90" w:type="dxa"/>
              <w:left w:w="140" w:type="dxa"/>
              <w:right w:w="140" w:type="dxa"/>
            </w:tcMar>
          </w:tcPr>
          <w:p>
            <w:r>
              <w:rPr>
                <w:rFonts w:ascii="Calibri" w:hAnsi="Calibri"/>
                <w:color w:val="1E293B"/>
                <w:sz w:val="18"/>
              </w:rPr>
              <w:t>LKR 150.00</w:t>
            </w:r>
          </w:p>
        </w:tc>
        <w:tc>
          <w:tcPr>
            <w:tcW w:type="dxa" w:w="2592"/>
            <w:shd w:fill="FFFFFF"/>
            <w:tcMar>
              <w:top w:w="90" w:type="dxa"/>
              <w:bottom w:w="90" w:type="dxa"/>
              <w:left w:w="140" w:type="dxa"/>
              <w:right w:w="140" w:type="dxa"/>
            </w:tcMar>
          </w:tcPr>
          <w:p>
            <w:r>
              <w:rPr>
                <w:rFonts w:ascii="Calibri" w:hAnsi="Calibri"/>
                <w:color w:val="1E293B"/>
                <w:sz w:val="18"/>
              </w:rPr>
              <w:t>Badulla, Nuwara Eliya, Matale, Kandy</w:t>
            </w:r>
          </w:p>
        </w:tc>
      </w:tr>
      <w:tr>
        <w:tc>
          <w:tcPr>
            <w:tcW w:type="dxa" w:w="1440"/>
            <w:shd w:fill="F0FDF4"/>
            <w:tcMar>
              <w:top w:w="90" w:type="dxa"/>
              <w:bottom w:w="90" w:type="dxa"/>
              <w:left w:w="140" w:type="dxa"/>
              <w:right w:w="140" w:type="dxa"/>
            </w:tcMar>
          </w:tcPr>
          <w:p>
            <w:pPr>
              <w:jc w:val="left"/>
            </w:pPr>
            <w:r>
              <w:rPr>
                <w:rFonts w:ascii="Calibri" w:hAnsi="Calibri"/>
                <w:color w:val="1E293B"/>
                <w:sz w:val="18"/>
              </w:rPr>
              <w:t>Carrot</w:t>
            </w:r>
          </w:p>
        </w:tc>
        <w:tc>
          <w:tcPr>
            <w:tcW w:type="dxa" w:w="1152"/>
            <w:shd w:fill="F0FDF4"/>
            <w:tcMar>
              <w:top w:w="90" w:type="dxa"/>
              <w:bottom w:w="90" w:type="dxa"/>
              <w:left w:w="140" w:type="dxa"/>
              <w:right w:w="140" w:type="dxa"/>
            </w:tcMar>
          </w:tcPr>
          <w:p>
            <w:r>
              <w:rPr>
                <w:rFonts w:ascii="Calibri" w:hAnsi="Calibri"/>
                <w:color w:val="1E293B"/>
                <w:sz w:val="18"/>
              </w:rPr>
              <w:t>3 months</w:t>
            </w:r>
          </w:p>
        </w:tc>
        <w:tc>
          <w:tcPr>
            <w:tcW w:type="dxa" w:w="1728"/>
            <w:shd w:fill="F0FDF4"/>
            <w:tcMar>
              <w:top w:w="90" w:type="dxa"/>
              <w:bottom w:w="90" w:type="dxa"/>
              <w:left w:w="140" w:type="dxa"/>
              <w:right w:w="140" w:type="dxa"/>
            </w:tcMar>
          </w:tcPr>
          <w:p>
            <w:r>
              <w:rPr>
                <w:rFonts w:ascii="Calibri" w:hAnsi="Calibri"/>
                <w:color w:val="1E293B"/>
                <w:sz w:val="18"/>
              </w:rPr>
              <w:t>15.0 - 24.0</w:t>
            </w:r>
          </w:p>
        </w:tc>
        <w:tc>
          <w:tcPr>
            <w:tcW w:type="dxa" w:w="1728"/>
            <w:shd w:fill="F0FDF4"/>
            <w:tcMar>
              <w:top w:w="90" w:type="dxa"/>
              <w:bottom w:w="90" w:type="dxa"/>
              <w:left w:w="140" w:type="dxa"/>
              <w:right w:w="140" w:type="dxa"/>
            </w:tcMar>
          </w:tcPr>
          <w:p>
            <w:r>
              <w:rPr>
                <w:rFonts w:ascii="Calibri" w:hAnsi="Calibri"/>
                <w:color w:val="1E293B"/>
                <w:sz w:val="18"/>
              </w:rPr>
              <w:t>70.0 - 160.0</w:t>
            </w:r>
          </w:p>
        </w:tc>
        <w:tc>
          <w:tcPr>
            <w:tcW w:type="dxa" w:w="1440"/>
            <w:shd w:fill="F0FDF4"/>
            <w:tcMar>
              <w:top w:w="90" w:type="dxa"/>
              <w:bottom w:w="90" w:type="dxa"/>
              <w:left w:w="140" w:type="dxa"/>
              <w:right w:w="140" w:type="dxa"/>
            </w:tcMar>
          </w:tcPr>
          <w:p>
            <w:r>
              <w:rPr>
                <w:rFonts w:ascii="Calibri" w:hAnsi="Calibri"/>
                <w:color w:val="1E293B"/>
                <w:sz w:val="18"/>
              </w:rPr>
              <w:t>8,000 kg</w:t>
            </w:r>
          </w:p>
        </w:tc>
        <w:tc>
          <w:tcPr>
            <w:tcW w:type="dxa" w:w="1440"/>
            <w:shd w:fill="F0FDF4"/>
            <w:tcMar>
              <w:top w:w="90" w:type="dxa"/>
              <w:bottom w:w="90" w:type="dxa"/>
              <w:left w:w="140" w:type="dxa"/>
              <w:right w:w="140" w:type="dxa"/>
            </w:tcMar>
          </w:tcPr>
          <w:p>
            <w:r>
              <w:rPr>
                <w:rFonts w:ascii="Calibri" w:hAnsi="Calibri"/>
                <w:color w:val="1E293B"/>
                <w:sz w:val="18"/>
              </w:rPr>
              <w:t>LKR 180.00</w:t>
            </w:r>
          </w:p>
        </w:tc>
        <w:tc>
          <w:tcPr>
            <w:tcW w:type="dxa" w:w="2592"/>
            <w:shd w:fill="F0FDF4"/>
            <w:tcMar>
              <w:top w:w="90" w:type="dxa"/>
              <w:bottom w:w="90" w:type="dxa"/>
              <w:left w:w="140" w:type="dxa"/>
              <w:right w:w="140" w:type="dxa"/>
            </w:tcMar>
          </w:tcPr>
          <w:p>
            <w:r>
              <w:rPr>
                <w:rFonts w:ascii="Calibri" w:hAnsi="Calibri"/>
                <w:color w:val="1E293B"/>
                <w:sz w:val="18"/>
              </w:rPr>
              <w:t>Nuwara Eliya, Badulla, Welimada</w:t>
            </w:r>
          </w:p>
        </w:tc>
      </w:tr>
      <w:tr>
        <w:tc>
          <w:tcPr>
            <w:tcW w:type="dxa" w:w="1440"/>
            <w:shd w:fill="FFFFFF"/>
            <w:tcMar>
              <w:top w:w="90" w:type="dxa"/>
              <w:bottom w:w="90" w:type="dxa"/>
              <w:left w:w="140" w:type="dxa"/>
              <w:right w:w="140" w:type="dxa"/>
            </w:tcMar>
          </w:tcPr>
          <w:p>
            <w:pPr>
              <w:jc w:val="left"/>
            </w:pPr>
            <w:r>
              <w:rPr>
                <w:rFonts w:ascii="Calibri" w:hAnsi="Calibri"/>
                <w:color w:val="1E293B"/>
                <w:sz w:val="18"/>
              </w:rPr>
              <w:t>Cabbage</w:t>
            </w:r>
          </w:p>
        </w:tc>
        <w:tc>
          <w:tcPr>
            <w:tcW w:type="dxa" w:w="1152"/>
            <w:shd w:fill="FFFFFF"/>
            <w:tcMar>
              <w:top w:w="90" w:type="dxa"/>
              <w:bottom w:w="90" w:type="dxa"/>
              <w:left w:w="140" w:type="dxa"/>
              <w:right w:w="140" w:type="dxa"/>
            </w:tcMar>
          </w:tcPr>
          <w:p>
            <w:r>
              <w:rPr>
                <w:rFonts w:ascii="Calibri" w:hAnsi="Calibri"/>
                <w:color w:val="1E293B"/>
                <w:sz w:val="18"/>
              </w:rPr>
              <w:t>3 months</w:t>
            </w:r>
          </w:p>
        </w:tc>
        <w:tc>
          <w:tcPr>
            <w:tcW w:type="dxa" w:w="1728"/>
            <w:shd w:fill="FFFFFF"/>
            <w:tcMar>
              <w:top w:w="90" w:type="dxa"/>
              <w:bottom w:w="90" w:type="dxa"/>
              <w:left w:w="140" w:type="dxa"/>
              <w:right w:w="140" w:type="dxa"/>
            </w:tcMar>
          </w:tcPr>
          <w:p>
            <w:r>
              <w:rPr>
                <w:rFonts w:ascii="Calibri" w:hAnsi="Calibri"/>
                <w:color w:val="1E293B"/>
                <w:sz w:val="18"/>
              </w:rPr>
              <w:t>16.0 - 26.0</w:t>
            </w:r>
          </w:p>
        </w:tc>
        <w:tc>
          <w:tcPr>
            <w:tcW w:type="dxa" w:w="1728"/>
            <w:shd w:fill="FFFFFF"/>
            <w:tcMar>
              <w:top w:w="90" w:type="dxa"/>
              <w:bottom w:w="90" w:type="dxa"/>
              <w:left w:w="140" w:type="dxa"/>
              <w:right w:w="140" w:type="dxa"/>
            </w:tcMar>
          </w:tcPr>
          <w:p>
            <w:r>
              <w:rPr>
                <w:rFonts w:ascii="Calibri" w:hAnsi="Calibri"/>
                <w:color w:val="1E293B"/>
                <w:sz w:val="18"/>
              </w:rPr>
              <w:t>90.0 - 220.0</w:t>
            </w:r>
          </w:p>
        </w:tc>
        <w:tc>
          <w:tcPr>
            <w:tcW w:type="dxa" w:w="1440"/>
            <w:shd w:fill="FFFFFF"/>
            <w:tcMar>
              <w:top w:w="90" w:type="dxa"/>
              <w:bottom w:w="90" w:type="dxa"/>
              <w:left w:w="140" w:type="dxa"/>
              <w:right w:w="140" w:type="dxa"/>
            </w:tcMar>
          </w:tcPr>
          <w:p>
            <w:r>
              <w:rPr>
                <w:rFonts w:ascii="Calibri" w:hAnsi="Calibri"/>
                <w:color w:val="1E293B"/>
                <w:sz w:val="18"/>
              </w:rPr>
              <w:t>10,000 kg</w:t>
            </w:r>
          </w:p>
        </w:tc>
        <w:tc>
          <w:tcPr>
            <w:tcW w:type="dxa" w:w="1440"/>
            <w:shd w:fill="FFFFFF"/>
            <w:tcMar>
              <w:top w:w="90" w:type="dxa"/>
              <w:bottom w:w="90" w:type="dxa"/>
              <w:left w:w="140" w:type="dxa"/>
              <w:right w:w="140" w:type="dxa"/>
            </w:tcMar>
          </w:tcPr>
          <w:p>
            <w:r>
              <w:rPr>
                <w:rFonts w:ascii="Calibri" w:hAnsi="Calibri"/>
                <w:color w:val="1E293B"/>
                <w:sz w:val="18"/>
              </w:rPr>
              <w:t>LKR 110.00</w:t>
            </w:r>
          </w:p>
        </w:tc>
        <w:tc>
          <w:tcPr>
            <w:tcW w:type="dxa" w:w="2592"/>
            <w:shd w:fill="FFFFFF"/>
            <w:tcMar>
              <w:top w:w="90" w:type="dxa"/>
              <w:bottom w:w="90" w:type="dxa"/>
              <w:left w:w="140" w:type="dxa"/>
              <w:right w:w="140" w:type="dxa"/>
            </w:tcMar>
          </w:tcPr>
          <w:p>
            <w:r>
              <w:rPr>
                <w:rFonts w:ascii="Calibri" w:hAnsi="Calibri"/>
                <w:color w:val="1E293B"/>
                <w:sz w:val="18"/>
              </w:rPr>
              <w:t>Nuwara Eliya, Badulla, Kandy, Matale</w:t>
            </w:r>
          </w:p>
        </w:tc>
      </w:tr>
      <w:tr>
        <w:tc>
          <w:tcPr>
            <w:tcW w:type="dxa" w:w="1440"/>
            <w:shd w:fill="F0FDF4"/>
            <w:tcMar>
              <w:top w:w="90" w:type="dxa"/>
              <w:bottom w:w="90" w:type="dxa"/>
              <w:left w:w="140" w:type="dxa"/>
              <w:right w:w="140" w:type="dxa"/>
            </w:tcMar>
          </w:tcPr>
          <w:p>
            <w:pPr>
              <w:jc w:val="left"/>
            </w:pPr>
            <w:r>
              <w:rPr>
                <w:rFonts w:ascii="Calibri" w:hAnsi="Calibri"/>
                <w:color w:val="1E293B"/>
                <w:sz w:val="18"/>
              </w:rPr>
              <w:t>Tomato</w:t>
            </w:r>
          </w:p>
        </w:tc>
        <w:tc>
          <w:tcPr>
            <w:tcW w:type="dxa" w:w="1152"/>
            <w:shd w:fill="F0FDF4"/>
            <w:tcMar>
              <w:top w:w="90" w:type="dxa"/>
              <w:bottom w:w="90" w:type="dxa"/>
              <w:left w:w="140" w:type="dxa"/>
              <w:right w:w="140" w:type="dxa"/>
            </w:tcMar>
          </w:tcPr>
          <w:p>
            <w:r>
              <w:rPr>
                <w:rFonts w:ascii="Calibri" w:hAnsi="Calibri"/>
                <w:color w:val="1E293B"/>
                <w:sz w:val="18"/>
              </w:rPr>
              <w:t>3 months</w:t>
            </w:r>
          </w:p>
        </w:tc>
        <w:tc>
          <w:tcPr>
            <w:tcW w:type="dxa" w:w="1728"/>
            <w:shd w:fill="F0FDF4"/>
            <w:tcMar>
              <w:top w:w="90" w:type="dxa"/>
              <w:bottom w:w="90" w:type="dxa"/>
              <w:left w:w="140" w:type="dxa"/>
              <w:right w:w="140" w:type="dxa"/>
            </w:tcMar>
          </w:tcPr>
          <w:p>
            <w:r>
              <w:rPr>
                <w:rFonts w:ascii="Calibri" w:hAnsi="Calibri"/>
                <w:color w:val="1E293B"/>
                <w:sz w:val="18"/>
              </w:rPr>
              <w:t>20.0 - 30.0</w:t>
            </w:r>
          </w:p>
        </w:tc>
        <w:tc>
          <w:tcPr>
            <w:tcW w:type="dxa" w:w="1728"/>
            <w:shd w:fill="F0FDF4"/>
            <w:tcMar>
              <w:top w:w="90" w:type="dxa"/>
              <w:bottom w:w="90" w:type="dxa"/>
              <w:left w:w="140" w:type="dxa"/>
              <w:right w:w="140" w:type="dxa"/>
            </w:tcMar>
          </w:tcPr>
          <w:p>
            <w:r>
              <w:rPr>
                <w:rFonts w:ascii="Calibri" w:hAnsi="Calibri"/>
                <w:color w:val="1E293B"/>
                <w:sz w:val="18"/>
              </w:rPr>
              <w:t>70.0 - 180.0</w:t>
            </w:r>
          </w:p>
        </w:tc>
        <w:tc>
          <w:tcPr>
            <w:tcW w:type="dxa" w:w="1440"/>
            <w:shd w:fill="F0FDF4"/>
            <w:tcMar>
              <w:top w:w="90" w:type="dxa"/>
              <w:bottom w:w="90" w:type="dxa"/>
              <w:left w:w="140" w:type="dxa"/>
              <w:right w:w="140" w:type="dxa"/>
            </w:tcMar>
          </w:tcPr>
          <w:p>
            <w:r>
              <w:rPr>
                <w:rFonts w:ascii="Calibri" w:hAnsi="Calibri"/>
                <w:color w:val="1E293B"/>
                <w:sz w:val="18"/>
              </w:rPr>
              <w:t>6,000 kg</w:t>
            </w:r>
          </w:p>
        </w:tc>
        <w:tc>
          <w:tcPr>
            <w:tcW w:type="dxa" w:w="1440"/>
            <w:shd w:fill="F0FDF4"/>
            <w:tcMar>
              <w:top w:w="90" w:type="dxa"/>
              <w:bottom w:w="90" w:type="dxa"/>
              <w:left w:w="140" w:type="dxa"/>
              <w:right w:w="140" w:type="dxa"/>
            </w:tcMar>
          </w:tcPr>
          <w:p>
            <w:r>
              <w:rPr>
                <w:rFonts w:ascii="Calibri" w:hAnsi="Calibri"/>
                <w:color w:val="1E293B"/>
                <w:sz w:val="18"/>
              </w:rPr>
              <w:t>LKR 130.00</w:t>
            </w:r>
          </w:p>
        </w:tc>
        <w:tc>
          <w:tcPr>
            <w:tcW w:type="dxa" w:w="2592"/>
            <w:shd w:fill="F0FDF4"/>
            <w:tcMar>
              <w:top w:w="90" w:type="dxa"/>
              <w:bottom w:w="90" w:type="dxa"/>
              <w:left w:w="140" w:type="dxa"/>
              <w:right w:w="140" w:type="dxa"/>
            </w:tcMar>
          </w:tcPr>
          <w:p>
            <w:r>
              <w:rPr>
                <w:rFonts w:ascii="Calibri" w:hAnsi="Calibri"/>
                <w:color w:val="1E293B"/>
                <w:sz w:val="18"/>
              </w:rPr>
              <w:t>Badulla, Matale, Kandy, Anuradhapura</w:t>
            </w:r>
          </w:p>
        </w:tc>
      </w:tr>
      <w:tr>
        <w:tc>
          <w:tcPr>
            <w:tcW w:type="dxa" w:w="1440"/>
            <w:shd w:fill="FFFFFF"/>
            <w:tcMar>
              <w:top w:w="90" w:type="dxa"/>
              <w:bottom w:w="90" w:type="dxa"/>
              <w:left w:w="140" w:type="dxa"/>
              <w:right w:w="140" w:type="dxa"/>
            </w:tcMar>
          </w:tcPr>
          <w:p>
            <w:pPr>
              <w:jc w:val="left"/>
            </w:pPr>
            <w:r>
              <w:rPr>
                <w:rFonts w:ascii="Calibri" w:hAnsi="Calibri"/>
                <w:color w:val="1E293B"/>
                <w:sz w:val="18"/>
              </w:rPr>
              <w:t>Brinjal</w:t>
            </w:r>
          </w:p>
        </w:tc>
        <w:tc>
          <w:tcPr>
            <w:tcW w:type="dxa" w:w="1152"/>
            <w:shd w:fill="FFFFFF"/>
            <w:tcMar>
              <w:top w:w="90" w:type="dxa"/>
              <w:bottom w:w="90" w:type="dxa"/>
              <w:left w:w="140" w:type="dxa"/>
              <w:right w:w="140" w:type="dxa"/>
            </w:tcMar>
          </w:tcPr>
          <w:p>
            <w:r>
              <w:rPr>
                <w:rFonts w:ascii="Calibri" w:hAnsi="Calibri"/>
                <w:color w:val="1E293B"/>
                <w:sz w:val="18"/>
              </w:rPr>
              <w:t>4 months</w:t>
            </w:r>
          </w:p>
        </w:tc>
        <w:tc>
          <w:tcPr>
            <w:tcW w:type="dxa" w:w="1728"/>
            <w:shd w:fill="FFFFFF"/>
            <w:tcMar>
              <w:top w:w="90" w:type="dxa"/>
              <w:bottom w:w="90" w:type="dxa"/>
              <w:left w:w="140" w:type="dxa"/>
              <w:right w:w="140" w:type="dxa"/>
            </w:tcMar>
          </w:tcPr>
          <w:p>
            <w:r>
              <w:rPr>
                <w:rFonts w:ascii="Calibri" w:hAnsi="Calibri"/>
                <w:color w:val="1E293B"/>
                <w:sz w:val="18"/>
              </w:rPr>
              <w:t>22.0 - 32.0</w:t>
            </w:r>
          </w:p>
        </w:tc>
        <w:tc>
          <w:tcPr>
            <w:tcW w:type="dxa" w:w="1728"/>
            <w:shd w:fill="FFFFFF"/>
            <w:tcMar>
              <w:top w:w="90" w:type="dxa"/>
              <w:bottom w:w="90" w:type="dxa"/>
              <w:left w:w="140" w:type="dxa"/>
              <w:right w:w="140" w:type="dxa"/>
            </w:tcMar>
          </w:tcPr>
          <w:p>
            <w:r>
              <w:rPr>
                <w:rFonts w:ascii="Calibri" w:hAnsi="Calibri"/>
                <w:color w:val="1E293B"/>
                <w:sz w:val="18"/>
              </w:rPr>
              <w:t>80.0 - 200.0</w:t>
            </w:r>
          </w:p>
        </w:tc>
        <w:tc>
          <w:tcPr>
            <w:tcW w:type="dxa" w:w="1440"/>
            <w:shd w:fill="FFFFFF"/>
            <w:tcMar>
              <w:top w:w="90" w:type="dxa"/>
              <w:bottom w:w="90" w:type="dxa"/>
              <w:left w:w="140" w:type="dxa"/>
              <w:right w:w="140" w:type="dxa"/>
            </w:tcMar>
          </w:tcPr>
          <w:p>
            <w:r>
              <w:rPr>
                <w:rFonts w:ascii="Calibri" w:hAnsi="Calibri"/>
                <w:color w:val="1E293B"/>
                <w:sz w:val="18"/>
              </w:rPr>
              <w:t>7,000 kg</w:t>
            </w:r>
          </w:p>
        </w:tc>
        <w:tc>
          <w:tcPr>
            <w:tcW w:type="dxa" w:w="1440"/>
            <w:shd w:fill="FFFFFF"/>
            <w:tcMar>
              <w:top w:w="90" w:type="dxa"/>
              <w:bottom w:w="90" w:type="dxa"/>
              <w:left w:w="140" w:type="dxa"/>
              <w:right w:w="140" w:type="dxa"/>
            </w:tcMar>
          </w:tcPr>
          <w:p>
            <w:r>
              <w:rPr>
                <w:rFonts w:ascii="Calibri" w:hAnsi="Calibri"/>
                <w:color w:val="1E293B"/>
                <w:sz w:val="18"/>
              </w:rPr>
              <w:t>LKR 120.00</w:t>
            </w:r>
          </w:p>
        </w:tc>
        <w:tc>
          <w:tcPr>
            <w:tcW w:type="dxa" w:w="2592"/>
            <w:shd w:fill="FFFFFF"/>
            <w:tcMar>
              <w:top w:w="90" w:type="dxa"/>
              <w:bottom w:w="90" w:type="dxa"/>
              <w:left w:w="140" w:type="dxa"/>
              <w:right w:w="140" w:type="dxa"/>
            </w:tcMar>
          </w:tcPr>
          <w:p>
            <w:r>
              <w:rPr>
                <w:rFonts w:ascii="Calibri" w:hAnsi="Calibri"/>
                <w:color w:val="1E293B"/>
                <w:sz w:val="18"/>
              </w:rPr>
              <w:t>Matale, Kurunegala, Anuradhapura</w:t>
            </w:r>
          </w:p>
        </w:tc>
      </w:tr>
      <w:tr>
        <w:tc>
          <w:tcPr>
            <w:tcW w:type="dxa" w:w="1440"/>
            <w:shd w:fill="F0FDF4"/>
            <w:tcMar>
              <w:top w:w="90" w:type="dxa"/>
              <w:bottom w:w="90" w:type="dxa"/>
              <w:left w:w="140" w:type="dxa"/>
              <w:right w:w="140" w:type="dxa"/>
            </w:tcMar>
          </w:tcPr>
          <w:p>
            <w:pPr>
              <w:jc w:val="left"/>
            </w:pPr>
            <w:r>
              <w:rPr>
                <w:rFonts w:ascii="Calibri" w:hAnsi="Calibri"/>
                <w:color w:val="1E293B"/>
                <w:sz w:val="18"/>
              </w:rPr>
              <w:t>Pumpkin</w:t>
            </w:r>
          </w:p>
        </w:tc>
        <w:tc>
          <w:tcPr>
            <w:tcW w:type="dxa" w:w="1152"/>
            <w:shd w:fill="F0FDF4"/>
            <w:tcMar>
              <w:top w:w="90" w:type="dxa"/>
              <w:bottom w:w="90" w:type="dxa"/>
              <w:left w:w="140" w:type="dxa"/>
              <w:right w:w="140" w:type="dxa"/>
            </w:tcMar>
          </w:tcPr>
          <w:p>
            <w:r>
              <w:rPr>
                <w:rFonts w:ascii="Calibri" w:hAnsi="Calibri"/>
                <w:color w:val="1E293B"/>
                <w:sz w:val="18"/>
              </w:rPr>
              <w:t>4 months</w:t>
            </w:r>
          </w:p>
        </w:tc>
        <w:tc>
          <w:tcPr>
            <w:tcW w:type="dxa" w:w="1728"/>
            <w:shd w:fill="F0FDF4"/>
            <w:tcMar>
              <w:top w:w="90" w:type="dxa"/>
              <w:bottom w:w="90" w:type="dxa"/>
              <w:left w:w="140" w:type="dxa"/>
              <w:right w:w="140" w:type="dxa"/>
            </w:tcMar>
          </w:tcPr>
          <w:p>
            <w:r>
              <w:rPr>
                <w:rFonts w:ascii="Calibri" w:hAnsi="Calibri"/>
                <w:color w:val="1E293B"/>
                <w:sz w:val="18"/>
              </w:rPr>
              <w:t>22.0 - 34.0</w:t>
            </w:r>
          </w:p>
        </w:tc>
        <w:tc>
          <w:tcPr>
            <w:tcW w:type="dxa" w:w="1728"/>
            <w:shd w:fill="F0FDF4"/>
            <w:tcMar>
              <w:top w:w="90" w:type="dxa"/>
              <w:bottom w:w="90" w:type="dxa"/>
              <w:left w:w="140" w:type="dxa"/>
              <w:right w:w="140" w:type="dxa"/>
            </w:tcMar>
          </w:tcPr>
          <w:p>
            <w:r>
              <w:rPr>
                <w:rFonts w:ascii="Calibri" w:hAnsi="Calibri"/>
                <w:color w:val="1E293B"/>
                <w:sz w:val="18"/>
              </w:rPr>
              <w:t>60.0 - 150.0</w:t>
            </w:r>
          </w:p>
        </w:tc>
        <w:tc>
          <w:tcPr>
            <w:tcW w:type="dxa" w:w="1440"/>
            <w:shd w:fill="F0FDF4"/>
            <w:tcMar>
              <w:top w:w="90" w:type="dxa"/>
              <w:bottom w:w="90" w:type="dxa"/>
              <w:left w:w="140" w:type="dxa"/>
              <w:right w:w="140" w:type="dxa"/>
            </w:tcMar>
          </w:tcPr>
          <w:p>
            <w:r>
              <w:rPr>
                <w:rFonts w:ascii="Calibri" w:hAnsi="Calibri"/>
                <w:color w:val="1E293B"/>
                <w:sz w:val="18"/>
              </w:rPr>
              <w:t>8,000 kg</w:t>
            </w:r>
          </w:p>
        </w:tc>
        <w:tc>
          <w:tcPr>
            <w:tcW w:type="dxa" w:w="1440"/>
            <w:shd w:fill="F0FDF4"/>
            <w:tcMar>
              <w:top w:w="90" w:type="dxa"/>
              <w:bottom w:w="90" w:type="dxa"/>
              <w:left w:w="140" w:type="dxa"/>
              <w:right w:w="140" w:type="dxa"/>
            </w:tcMar>
          </w:tcPr>
          <w:p>
            <w:r>
              <w:rPr>
                <w:rFonts w:ascii="Calibri" w:hAnsi="Calibri"/>
                <w:color w:val="1E293B"/>
                <w:sz w:val="18"/>
              </w:rPr>
              <w:t>LKR 70.00</w:t>
            </w:r>
          </w:p>
        </w:tc>
        <w:tc>
          <w:tcPr>
            <w:tcW w:type="dxa" w:w="2592"/>
            <w:shd w:fill="F0FDF4"/>
            <w:tcMar>
              <w:top w:w="90" w:type="dxa"/>
              <w:bottom w:w="90" w:type="dxa"/>
              <w:left w:w="140" w:type="dxa"/>
              <w:right w:w="140" w:type="dxa"/>
            </w:tcMar>
          </w:tcPr>
          <w:p>
            <w:r>
              <w:rPr>
                <w:rFonts w:ascii="Calibri" w:hAnsi="Calibri"/>
                <w:color w:val="1E293B"/>
                <w:sz w:val="18"/>
              </w:rPr>
              <w:t>Monaragala, Anuradhapura, Badulla</w:t>
            </w:r>
          </w:p>
        </w:tc>
      </w:tr>
      <w:tr>
        <w:tc>
          <w:tcPr>
            <w:tcW w:type="dxa" w:w="1440"/>
            <w:shd w:fill="FFFFFF"/>
            <w:tcMar>
              <w:top w:w="90" w:type="dxa"/>
              <w:bottom w:w="90" w:type="dxa"/>
              <w:left w:w="140" w:type="dxa"/>
              <w:right w:w="140" w:type="dxa"/>
            </w:tcMar>
          </w:tcPr>
          <w:p>
            <w:pPr>
              <w:jc w:val="left"/>
            </w:pPr>
            <w:r>
              <w:rPr>
                <w:rFonts w:ascii="Calibri" w:hAnsi="Calibri"/>
                <w:color w:val="1E293B"/>
                <w:sz w:val="18"/>
              </w:rPr>
              <w:t>Snake Gourd</w:t>
            </w:r>
          </w:p>
        </w:tc>
        <w:tc>
          <w:tcPr>
            <w:tcW w:type="dxa" w:w="1152"/>
            <w:shd w:fill="FFFFFF"/>
            <w:tcMar>
              <w:top w:w="90" w:type="dxa"/>
              <w:bottom w:w="90" w:type="dxa"/>
              <w:left w:w="140" w:type="dxa"/>
              <w:right w:w="140" w:type="dxa"/>
            </w:tcMar>
          </w:tcPr>
          <w:p>
            <w:r>
              <w:rPr>
                <w:rFonts w:ascii="Calibri" w:hAnsi="Calibri"/>
                <w:color w:val="1E293B"/>
                <w:sz w:val="18"/>
              </w:rPr>
              <w:t>3 months</w:t>
            </w:r>
          </w:p>
        </w:tc>
        <w:tc>
          <w:tcPr>
            <w:tcW w:type="dxa" w:w="1728"/>
            <w:shd w:fill="FFFFFF"/>
            <w:tcMar>
              <w:top w:w="90" w:type="dxa"/>
              <w:bottom w:w="90" w:type="dxa"/>
              <w:left w:w="140" w:type="dxa"/>
              <w:right w:w="140" w:type="dxa"/>
            </w:tcMar>
          </w:tcPr>
          <w:p>
            <w:r>
              <w:rPr>
                <w:rFonts w:ascii="Calibri" w:hAnsi="Calibri"/>
                <w:color w:val="1E293B"/>
                <w:sz w:val="18"/>
              </w:rPr>
              <w:t>22.0 - 32.0</w:t>
            </w:r>
          </w:p>
        </w:tc>
        <w:tc>
          <w:tcPr>
            <w:tcW w:type="dxa" w:w="1728"/>
            <w:shd w:fill="FFFFFF"/>
            <w:tcMar>
              <w:top w:w="90" w:type="dxa"/>
              <w:bottom w:w="90" w:type="dxa"/>
              <w:left w:w="140" w:type="dxa"/>
              <w:right w:w="140" w:type="dxa"/>
            </w:tcMar>
          </w:tcPr>
          <w:p>
            <w:r>
              <w:rPr>
                <w:rFonts w:ascii="Calibri" w:hAnsi="Calibri"/>
                <w:color w:val="1E293B"/>
                <w:sz w:val="18"/>
              </w:rPr>
              <w:t>80.0 - 200.0</w:t>
            </w:r>
          </w:p>
        </w:tc>
        <w:tc>
          <w:tcPr>
            <w:tcW w:type="dxa" w:w="1440"/>
            <w:shd w:fill="FFFFFF"/>
            <w:tcMar>
              <w:top w:w="90" w:type="dxa"/>
              <w:bottom w:w="90" w:type="dxa"/>
              <w:left w:w="140" w:type="dxa"/>
              <w:right w:w="140" w:type="dxa"/>
            </w:tcMar>
          </w:tcPr>
          <w:p>
            <w:r>
              <w:rPr>
                <w:rFonts w:ascii="Calibri" w:hAnsi="Calibri"/>
                <w:color w:val="1E293B"/>
                <w:sz w:val="18"/>
              </w:rPr>
              <w:t>5,000 kg</w:t>
            </w:r>
          </w:p>
        </w:tc>
        <w:tc>
          <w:tcPr>
            <w:tcW w:type="dxa" w:w="1440"/>
            <w:shd w:fill="FFFFFF"/>
            <w:tcMar>
              <w:top w:w="90" w:type="dxa"/>
              <w:bottom w:w="90" w:type="dxa"/>
              <w:left w:w="140" w:type="dxa"/>
              <w:right w:w="140" w:type="dxa"/>
            </w:tcMar>
          </w:tcPr>
          <w:p>
            <w:r>
              <w:rPr>
                <w:rFonts w:ascii="Calibri" w:hAnsi="Calibri"/>
                <w:color w:val="1E293B"/>
                <w:sz w:val="18"/>
              </w:rPr>
              <w:t>LKR 95.00</w:t>
            </w:r>
          </w:p>
        </w:tc>
        <w:tc>
          <w:tcPr>
            <w:tcW w:type="dxa" w:w="2592"/>
            <w:shd w:fill="FFFFFF"/>
            <w:tcMar>
              <w:top w:w="90" w:type="dxa"/>
              <w:bottom w:w="90" w:type="dxa"/>
              <w:left w:w="140" w:type="dxa"/>
              <w:right w:w="140" w:type="dxa"/>
            </w:tcMar>
          </w:tcPr>
          <w:p>
            <w:r>
              <w:rPr>
                <w:rFonts w:ascii="Calibri" w:hAnsi="Calibri"/>
                <w:color w:val="1E293B"/>
                <w:sz w:val="18"/>
              </w:rPr>
              <w:t>Gampaha, Kurunegala, Kalutara</w:t>
            </w:r>
          </w:p>
        </w:tc>
      </w:tr>
      <w:tr>
        <w:tc>
          <w:tcPr>
            <w:tcW w:type="dxa" w:w="1440"/>
            <w:shd w:fill="F0FDF4"/>
            <w:tcMar>
              <w:top w:w="90" w:type="dxa"/>
              <w:bottom w:w="90" w:type="dxa"/>
              <w:left w:w="140" w:type="dxa"/>
              <w:right w:w="140" w:type="dxa"/>
            </w:tcMar>
          </w:tcPr>
          <w:p>
            <w:pPr>
              <w:jc w:val="left"/>
            </w:pPr>
            <w:r>
              <w:rPr>
                <w:rFonts w:ascii="Calibri" w:hAnsi="Calibri"/>
                <w:color w:val="1E293B"/>
                <w:sz w:val="18"/>
              </w:rPr>
              <w:t>Green Chilli</w:t>
            </w:r>
          </w:p>
        </w:tc>
        <w:tc>
          <w:tcPr>
            <w:tcW w:type="dxa" w:w="1152"/>
            <w:shd w:fill="F0FDF4"/>
            <w:tcMar>
              <w:top w:w="90" w:type="dxa"/>
              <w:bottom w:w="90" w:type="dxa"/>
              <w:left w:w="140" w:type="dxa"/>
              <w:right w:w="140" w:type="dxa"/>
            </w:tcMar>
          </w:tcPr>
          <w:p>
            <w:r>
              <w:rPr>
                <w:rFonts w:ascii="Calibri" w:hAnsi="Calibri"/>
                <w:color w:val="1E293B"/>
                <w:sz w:val="18"/>
              </w:rPr>
              <w:t>3 months</w:t>
            </w:r>
          </w:p>
        </w:tc>
        <w:tc>
          <w:tcPr>
            <w:tcW w:type="dxa" w:w="1728"/>
            <w:shd w:fill="F0FDF4"/>
            <w:tcMar>
              <w:top w:w="90" w:type="dxa"/>
              <w:bottom w:w="90" w:type="dxa"/>
              <w:left w:w="140" w:type="dxa"/>
              <w:right w:w="140" w:type="dxa"/>
            </w:tcMar>
          </w:tcPr>
          <w:p>
            <w:r>
              <w:rPr>
                <w:rFonts w:ascii="Calibri" w:hAnsi="Calibri"/>
                <w:color w:val="1E293B"/>
                <w:sz w:val="18"/>
              </w:rPr>
              <w:t>20.0 - 32.0</w:t>
            </w:r>
          </w:p>
        </w:tc>
        <w:tc>
          <w:tcPr>
            <w:tcW w:type="dxa" w:w="1728"/>
            <w:shd w:fill="F0FDF4"/>
            <w:tcMar>
              <w:top w:w="90" w:type="dxa"/>
              <w:bottom w:w="90" w:type="dxa"/>
              <w:left w:w="140" w:type="dxa"/>
              <w:right w:w="140" w:type="dxa"/>
            </w:tcMar>
          </w:tcPr>
          <w:p>
            <w:r>
              <w:rPr>
                <w:rFonts w:ascii="Calibri" w:hAnsi="Calibri"/>
                <w:color w:val="1E293B"/>
                <w:sz w:val="18"/>
              </w:rPr>
              <w:t>70.0 - 180.0</w:t>
            </w:r>
          </w:p>
        </w:tc>
        <w:tc>
          <w:tcPr>
            <w:tcW w:type="dxa" w:w="1440"/>
            <w:shd w:fill="F0FDF4"/>
            <w:tcMar>
              <w:top w:w="90" w:type="dxa"/>
              <w:bottom w:w="90" w:type="dxa"/>
              <w:left w:w="140" w:type="dxa"/>
              <w:right w:w="140" w:type="dxa"/>
            </w:tcMar>
          </w:tcPr>
          <w:p>
            <w:r>
              <w:rPr>
                <w:rFonts w:ascii="Calibri" w:hAnsi="Calibri"/>
                <w:color w:val="1E293B"/>
                <w:sz w:val="18"/>
              </w:rPr>
              <w:t>3,500 kg</w:t>
            </w:r>
          </w:p>
        </w:tc>
        <w:tc>
          <w:tcPr>
            <w:tcW w:type="dxa" w:w="1440"/>
            <w:shd w:fill="F0FDF4"/>
            <w:tcMar>
              <w:top w:w="90" w:type="dxa"/>
              <w:bottom w:w="90" w:type="dxa"/>
              <w:left w:w="140" w:type="dxa"/>
              <w:right w:w="140" w:type="dxa"/>
            </w:tcMar>
          </w:tcPr>
          <w:p>
            <w:r>
              <w:rPr>
                <w:rFonts w:ascii="Calibri" w:hAnsi="Calibri"/>
                <w:color w:val="1E293B"/>
                <w:sz w:val="18"/>
              </w:rPr>
              <w:t>LKR 280.00</w:t>
            </w:r>
          </w:p>
        </w:tc>
        <w:tc>
          <w:tcPr>
            <w:tcW w:type="dxa" w:w="2592"/>
            <w:shd w:fill="F0FDF4"/>
            <w:tcMar>
              <w:top w:w="90" w:type="dxa"/>
              <w:bottom w:w="90" w:type="dxa"/>
              <w:left w:w="140" w:type="dxa"/>
              <w:right w:w="140" w:type="dxa"/>
            </w:tcMar>
          </w:tcPr>
          <w:p>
            <w:r>
              <w:rPr>
                <w:rFonts w:ascii="Calibri" w:hAnsi="Calibri"/>
                <w:color w:val="1E293B"/>
                <w:sz w:val="18"/>
              </w:rPr>
              <w:t>Anuradhapura, Monaragala, Matale</w:t>
            </w:r>
          </w:p>
        </w:tc>
      </w:tr>
      <w:tr>
        <w:tc>
          <w:tcPr>
            <w:tcW w:type="dxa" w:w="1440"/>
            <w:shd w:fill="FFFFFF"/>
            <w:tcMar>
              <w:top w:w="90" w:type="dxa"/>
              <w:bottom w:w="90" w:type="dxa"/>
              <w:left w:w="140" w:type="dxa"/>
              <w:right w:w="140" w:type="dxa"/>
            </w:tcMar>
          </w:tcPr>
          <w:p>
            <w:pPr>
              <w:jc w:val="left"/>
            </w:pPr>
            <w:r>
              <w:rPr>
                <w:rFonts w:ascii="Calibri" w:hAnsi="Calibri"/>
                <w:color w:val="1E293B"/>
                <w:sz w:val="18"/>
              </w:rPr>
              <w:t>Lime</w:t>
            </w:r>
          </w:p>
        </w:tc>
        <w:tc>
          <w:tcPr>
            <w:tcW w:type="dxa" w:w="1152"/>
            <w:shd w:fill="FFFFFF"/>
            <w:tcMar>
              <w:top w:w="90" w:type="dxa"/>
              <w:bottom w:w="90" w:type="dxa"/>
              <w:left w:w="140" w:type="dxa"/>
              <w:right w:w="140" w:type="dxa"/>
            </w:tcMar>
          </w:tcPr>
          <w:p>
            <w:r>
              <w:rPr>
                <w:rFonts w:ascii="Calibri" w:hAnsi="Calibri"/>
                <w:color w:val="1E293B"/>
                <w:sz w:val="18"/>
              </w:rPr>
              <w:t>4 months</w:t>
            </w:r>
          </w:p>
        </w:tc>
        <w:tc>
          <w:tcPr>
            <w:tcW w:type="dxa" w:w="1728"/>
            <w:shd w:fill="FFFFFF"/>
            <w:tcMar>
              <w:top w:w="90" w:type="dxa"/>
              <w:bottom w:w="90" w:type="dxa"/>
              <w:left w:w="140" w:type="dxa"/>
              <w:right w:w="140" w:type="dxa"/>
            </w:tcMar>
          </w:tcPr>
          <w:p>
            <w:r>
              <w:rPr>
                <w:rFonts w:ascii="Calibri" w:hAnsi="Calibri"/>
                <w:color w:val="1E293B"/>
                <w:sz w:val="18"/>
              </w:rPr>
              <w:t>24.0 - 35.0</w:t>
            </w:r>
          </w:p>
        </w:tc>
        <w:tc>
          <w:tcPr>
            <w:tcW w:type="dxa" w:w="1728"/>
            <w:shd w:fill="FFFFFF"/>
            <w:tcMar>
              <w:top w:w="90" w:type="dxa"/>
              <w:bottom w:w="90" w:type="dxa"/>
              <w:left w:w="140" w:type="dxa"/>
              <w:right w:w="140" w:type="dxa"/>
            </w:tcMar>
          </w:tcPr>
          <w:p>
            <w:r>
              <w:rPr>
                <w:rFonts w:ascii="Calibri" w:hAnsi="Calibri"/>
                <w:color w:val="1E293B"/>
                <w:sz w:val="18"/>
              </w:rPr>
              <w:t>60.0 - 160.0</w:t>
            </w:r>
          </w:p>
        </w:tc>
        <w:tc>
          <w:tcPr>
            <w:tcW w:type="dxa" w:w="1440"/>
            <w:shd w:fill="FFFFFF"/>
            <w:tcMar>
              <w:top w:w="90" w:type="dxa"/>
              <w:bottom w:w="90" w:type="dxa"/>
              <w:left w:w="140" w:type="dxa"/>
              <w:right w:w="140" w:type="dxa"/>
            </w:tcMar>
          </w:tcPr>
          <w:p>
            <w:r>
              <w:rPr>
                <w:rFonts w:ascii="Calibri" w:hAnsi="Calibri"/>
                <w:color w:val="1E293B"/>
                <w:sz w:val="18"/>
              </w:rPr>
              <w:t>3,000 kg</w:t>
            </w:r>
          </w:p>
        </w:tc>
        <w:tc>
          <w:tcPr>
            <w:tcW w:type="dxa" w:w="1440"/>
            <w:shd w:fill="FFFFFF"/>
            <w:tcMar>
              <w:top w:w="90" w:type="dxa"/>
              <w:bottom w:w="90" w:type="dxa"/>
              <w:left w:w="140" w:type="dxa"/>
              <w:right w:w="140" w:type="dxa"/>
            </w:tcMar>
          </w:tcPr>
          <w:p>
            <w:r>
              <w:rPr>
                <w:rFonts w:ascii="Calibri" w:hAnsi="Calibri"/>
                <w:color w:val="1E293B"/>
                <w:sz w:val="18"/>
              </w:rPr>
              <w:t>LKR 350.00</w:t>
            </w:r>
          </w:p>
        </w:tc>
        <w:tc>
          <w:tcPr>
            <w:tcW w:type="dxa" w:w="2592"/>
            <w:shd w:fill="FFFFFF"/>
            <w:tcMar>
              <w:top w:w="90" w:type="dxa"/>
              <w:bottom w:w="90" w:type="dxa"/>
              <w:left w:w="140" w:type="dxa"/>
              <w:right w:w="140" w:type="dxa"/>
            </w:tcMar>
          </w:tcPr>
          <w:p>
            <w:r>
              <w:rPr>
                <w:rFonts w:ascii="Calibri" w:hAnsi="Calibri"/>
                <w:color w:val="1E293B"/>
                <w:sz w:val="18"/>
              </w:rPr>
              <w:t>Monaragala, Hambantota, Polonnaruwa</w:t>
            </w:r>
          </w:p>
        </w:tc>
      </w:tr>
    </w:tbl>
    <w:p/>
    <w:p>
      <w:r>
        <w:t>For a smallholder planning to plant in month M on acreage A in district D, the engine computes: (1) Harvest Month: M_harvest = (M + duration - 1) % 12 + 1. (2) Climate Suitability Score: Evaluates historical district temperature and rainfall against the ideal ranges in Table 5.1. (3) Financial Modeling: Projected Total Cost = A * yield_per_acre * est_cost_per_kg; Expected Gross Revenue = A * yield_per_acre * P_forecast; Projected Net Profit = Revenue - Cost; Net Profit Margin (%) = (Net Profit / Cost) * 100. (4) Composite Score: Composite = 0.45 * Profit_Score + 0.35 * Climate_Score + 0.20 * Risk_Factor, scaled between 0 and 100 to rank all 9 crops.</w:t>
      </w:r>
    </w:p>
    <w:p>
      <w:pPr>
        <w:pStyle w:val="Heading2"/>
      </w:pPr>
      <w:r>
        <w:t>5.5 Technology Selection Justification</w:t>
      </w:r>
    </w:p>
    <w:p>
      <w:r>
        <w:t>Table 5.2 summarizes the technical stack selected for the implementation and justifies each choice against alternatives.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5803D"/>
            <w:tcMar>
              <w:top w:w="120" w:type="dxa"/>
              <w:bottom w:w="120" w:type="dxa"/>
              <w:left w:w="160" w:type="dxa"/>
              <w:right w:w="160" w:type="dxa"/>
            </w:tcMar>
          </w:tcPr>
          <w:p>
            <w:pPr>
              <w:jc w:val="center"/>
            </w:pPr>
            <w:r>
              <w:rPr>
                <w:rFonts w:ascii="Calibri" w:hAnsi="Calibri"/>
                <w:b/>
                <w:color w:val="FFFFFF"/>
                <w:sz w:val="19"/>
              </w:rPr>
              <w:t>Layer</w:t>
            </w:r>
          </w:p>
        </w:tc>
        <w:tc>
          <w:tcPr>
            <w:tcW w:type="dxa" w:w="2160"/>
            <w:shd w:fill="15803D"/>
            <w:tcMar>
              <w:top w:w="120" w:type="dxa"/>
              <w:bottom w:w="120" w:type="dxa"/>
              <w:left w:w="160" w:type="dxa"/>
              <w:right w:w="160" w:type="dxa"/>
            </w:tcMar>
          </w:tcPr>
          <w:p>
            <w:pPr>
              <w:jc w:val="center"/>
            </w:pPr>
            <w:r>
              <w:rPr>
                <w:rFonts w:ascii="Calibri" w:hAnsi="Calibri"/>
                <w:b/>
                <w:color w:val="FFFFFF"/>
                <w:sz w:val="19"/>
              </w:rPr>
              <w:t>Selected Technology</w:t>
            </w:r>
          </w:p>
        </w:tc>
        <w:tc>
          <w:tcPr>
            <w:tcW w:type="dxa" w:w="2016"/>
            <w:shd w:fill="15803D"/>
            <w:tcMar>
              <w:top w:w="120" w:type="dxa"/>
              <w:bottom w:w="120" w:type="dxa"/>
              <w:left w:w="160" w:type="dxa"/>
              <w:right w:w="160" w:type="dxa"/>
            </w:tcMar>
          </w:tcPr>
          <w:p>
            <w:pPr>
              <w:jc w:val="center"/>
            </w:pPr>
            <w:r>
              <w:rPr>
                <w:rFonts w:ascii="Calibri" w:hAnsi="Calibri"/>
                <w:b/>
                <w:color w:val="FFFFFF"/>
                <w:sz w:val="19"/>
              </w:rPr>
              <w:t>Alternative Considered</w:t>
            </w:r>
          </w:p>
        </w:tc>
        <w:tc>
          <w:tcPr>
            <w:tcW w:type="dxa" w:w="4032"/>
            <w:shd w:fill="15803D"/>
            <w:tcMar>
              <w:top w:w="120" w:type="dxa"/>
              <w:bottom w:w="120" w:type="dxa"/>
              <w:left w:w="160" w:type="dxa"/>
              <w:right w:w="160" w:type="dxa"/>
            </w:tcMar>
          </w:tcPr>
          <w:p>
            <w:pPr>
              <w:jc w:val="center"/>
            </w:pPr>
            <w:r>
              <w:rPr>
                <w:rFonts w:ascii="Calibri" w:hAnsi="Calibri"/>
                <w:b/>
                <w:color w:val="FFFFFF"/>
                <w:sz w:val="19"/>
              </w:rPr>
              <w:t>Justification for Selection</w:t>
            </w:r>
          </w:p>
        </w:tc>
      </w:tr>
      <w:tr>
        <w:tc>
          <w:tcPr>
            <w:tcW w:type="dxa" w:w="1872"/>
            <w:shd w:fill="FFFFFF"/>
            <w:tcMar>
              <w:top w:w="90" w:type="dxa"/>
              <w:bottom w:w="90" w:type="dxa"/>
              <w:left w:w="140" w:type="dxa"/>
              <w:right w:w="140" w:type="dxa"/>
            </w:tcMar>
          </w:tcPr>
          <w:p>
            <w:pPr>
              <w:jc w:val="left"/>
            </w:pPr>
            <w:r>
              <w:rPr>
                <w:rFonts w:ascii="Calibri" w:hAnsi="Calibri"/>
                <w:color w:val="1E293B"/>
                <w:sz w:val="18"/>
              </w:rPr>
              <w:t>Programming Language</w:t>
            </w:r>
          </w:p>
        </w:tc>
        <w:tc>
          <w:tcPr>
            <w:tcW w:type="dxa" w:w="2160"/>
            <w:shd w:fill="FFFFFF"/>
            <w:tcMar>
              <w:top w:w="90" w:type="dxa"/>
              <w:bottom w:w="90" w:type="dxa"/>
              <w:left w:w="140" w:type="dxa"/>
              <w:right w:w="140" w:type="dxa"/>
            </w:tcMar>
          </w:tcPr>
          <w:p>
            <w:r>
              <w:rPr>
                <w:rFonts w:ascii="Calibri" w:hAnsi="Calibri"/>
                <w:color w:val="1E293B"/>
                <w:sz w:val="18"/>
              </w:rPr>
              <w:t>Python 3.9</w:t>
            </w:r>
          </w:p>
        </w:tc>
        <w:tc>
          <w:tcPr>
            <w:tcW w:type="dxa" w:w="2016"/>
            <w:shd w:fill="FFFFFF"/>
            <w:tcMar>
              <w:top w:w="90" w:type="dxa"/>
              <w:bottom w:w="90" w:type="dxa"/>
              <w:left w:w="140" w:type="dxa"/>
              <w:right w:w="140" w:type="dxa"/>
            </w:tcMar>
          </w:tcPr>
          <w:p>
            <w:r>
              <w:rPr>
                <w:rFonts w:ascii="Calibri" w:hAnsi="Calibri"/>
                <w:color w:val="1E293B"/>
                <w:sz w:val="18"/>
              </w:rPr>
              <w:t>R / Java / C++</w:t>
            </w:r>
          </w:p>
        </w:tc>
        <w:tc>
          <w:tcPr>
            <w:tcW w:type="dxa" w:w="4032"/>
            <w:shd w:fill="FFFFFF"/>
            <w:tcMar>
              <w:top w:w="90" w:type="dxa"/>
              <w:bottom w:w="90" w:type="dxa"/>
              <w:left w:w="140" w:type="dxa"/>
              <w:right w:w="140" w:type="dxa"/>
            </w:tcMar>
          </w:tcPr>
          <w:p>
            <w:r>
              <w:rPr>
                <w:rFonts w:ascii="Calibri" w:hAnsi="Calibri"/>
                <w:color w:val="1E293B"/>
                <w:sz w:val="18"/>
              </w:rPr>
              <w:t>Rich agricultural data science libraries (PyTorch, Pandas, Scikit-learn) and unified backend-frontend pipeline.</w:t>
            </w:r>
          </w:p>
        </w:tc>
      </w:tr>
      <w:tr>
        <w:tc>
          <w:tcPr>
            <w:tcW w:type="dxa" w:w="1872"/>
            <w:shd w:fill="F0FDF4"/>
            <w:tcMar>
              <w:top w:w="90" w:type="dxa"/>
              <w:bottom w:w="90" w:type="dxa"/>
              <w:left w:w="140" w:type="dxa"/>
              <w:right w:w="140" w:type="dxa"/>
            </w:tcMar>
          </w:tcPr>
          <w:p>
            <w:pPr>
              <w:jc w:val="left"/>
            </w:pPr>
            <w:r>
              <w:rPr>
                <w:rFonts w:ascii="Calibri" w:hAnsi="Calibri"/>
                <w:color w:val="1E293B"/>
                <w:sz w:val="18"/>
              </w:rPr>
              <w:t>Deep Learning Engine</w:t>
            </w:r>
          </w:p>
        </w:tc>
        <w:tc>
          <w:tcPr>
            <w:tcW w:type="dxa" w:w="2160"/>
            <w:shd w:fill="F0FDF4"/>
            <w:tcMar>
              <w:top w:w="90" w:type="dxa"/>
              <w:bottom w:w="90" w:type="dxa"/>
              <w:left w:w="140" w:type="dxa"/>
              <w:right w:w="140" w:type="dxa"/>
            </w:tcMar>
          </w:tcPr>
          <w:p>
            <w:r>
              <w:rPr>
                <w:rFonts w:ascii="Calibri" w:hAnsi="Calibri"/>
                <w:color w:val="1E293B"/>
                <w:sz w:val="18"/>
              </w:rPr>
              <w:t>PyTorch 2.8</w:t>
            </w:r>
          </w:p>
        </w:tc>
        <w:tc>
          <w:tcPr>
            <w:tcW w:type="dxa" w:w="2016"/>
            <w:shd w:fill="F0FDF4"/>
            <w:tcMar>
              <w:top w:w="90" w:type="dxa"/>
              <w:bottom w:w="90" w:type="dxa"/>
              <w:left w:w="140" w:type="dxa"/>
              <w:right w:w="140" w:type="dxa"/>
            </w:tcMar>
          </w:tcPr>
          <w:p>
            <w:r>
              <w:rPr>
                <w:rFonts w:ascii="Calibri" w:hAnsi="Calibri"/>
                <w:color w:val="1E293B"/>
                <w:sz w:val="18"/>
              </w:rPr>
              <w:t>TensorFlow / Keras</w:t>
            </w:r>
          </w:p>
        </w:tc>
        <w:tc>
          <w:tcPr>
            <w:tcW w:type="dxa" w:w="4032"/>
            <w:shd w:fill="F0FDF4"/>
            <w:tcMar>
              <w:top w:w="90" w:type="dxa"/>
              <w:bottom w:w="90" w:type="dxa"/>
              <w:left w:w="140" w:type="dxa"/>
              <w:right w:w="140" w:type="dxa"/>
            </w:tcMar>
          </w:tcPr>
          <w:p>
            <w:r>
              <w:rPr>
                <w:rFonts w:ascii="Calibri" w:hAnsi="Calibri"/>
                <w:color w:val="1E293B"/>
                <w:sz w:val="18"/>
              </w:rPr>
              <w:t>Dynamic computation graph, superior BiLSTM and attention module implementations, and clean serialization.</w:t>
            </w:r>
          </w:p>
        </w:tc>
      </w:tr>
      <w:tr>
        <w:tc>
          <w:tcPr>
            <w:tcW w:type="dxa" w:w="1872"/>
            <w:shd w:fill="FFFFFF"/>
            <w:tcMar>
              <w:top w:w="90" w:type="dxa"/>
              <w:bottom w:w="90" w:type="dxa"/>
              <w:left w:w="140" w:type="dxa"/>
              <w:right w:w="140" w:type="dxa"/>
            </w:tcMar>
          </w:tcPr>
          <w:p>
            <w:pPr>
              <w:jc w:val="left"/>
            </w:pPr>
            <w:r>
              <w:rPr>
                <w:rFonts w:ascii="Calibri" w:hAnsi="Calibri"/>
                <w:color w:val="1E293B"/>
                <w:sz w:val="18"/>
              </w:rPr>
              <w:t>Database Engine</w:t>
            </w:r>
          </w:p>
        </w:tc>
        <w:tc>
          <w:tcPr>
            <w:tcW w:type="dxa" w:w="2160"/>
            <w:shd w:fill="FFFFFF"/>
            <w:tcMar>
              <w:top w:w="90" w:type="dxa"/>
              <w:bottom w:w="90" w:type="dxa"/>
              <w:left w:w="140" w:type="dxa"/>
              <w:right w:w="140" w:type="dxa"/>
            </w:tcMar>
          </w:tcPr>
          <w:p>
            <w:r>
              <w:rPr>
                <w:rFonts w:ascii="Calibri" w:hAnsi="Calibri"/>
                <w:color w:val="1E293B"/>
                <w:sz w:val="18"/>
              </w:rPr>
              <w:t>SQLite 3</w:t>
            </w:r>
          </w:p>
        </w:tc>
        <w:tc>
          <w:tcPr>
            <w:tcW w:type="dxa" w:w="2016"/>
            <w:shd w:fill="FFFFFF"/>
            <w:tcMar>
              <w:top w:w="90" w:type="dxa"/>
              <w:bottom w:w="90" w:type="dxa"/>
              <w:left w:w="140" w:type="dxa"/>
              <w:right w:w="140" w:type="dxa"/>
            </w:tcMar>
          </w:tcPr>
          <w:p>
            <w:r>
              <w:rPr>
                <w:rFonts w:ascii="Calibri" w:hAnsi="Calibri"/>
                <w:color w:val="1E293B"/>
                <w:sz w:val="18"/>
              </w:rPr>
              <w:t>PostgreSQL / MySQL</w:t>
            </w:r>
          </w:p>
        </w:tc>
        <w:tc>
          <w:tcPr>
            <w:tcW w:type="dxa" w:w="4032"/>
            <w:shd w:fill="FFFFFF"/>
            <w:tcMar>
              <w:top w:w="90" w:type="dxa"/>
              <w:bottom w:w="90" w:type="dxa"/>
              <w:left w:w="140" w:type="dxa"/>
              <w:right w:w="140" w:type="dxa"/>
            </w:tcMar>
          </w:tcPr>
          <w:p>
            <w:r>
              <w:rPr>
                <w:rFonts w:ascii="Calibri" w:hAnsi="Calibri"/>
                <w:color w:val="1E293B"/>
                <w:sz w:val="18"/>
              </w:rPr>
              <w:t>Zero-configuration, serverless, self-contained single-file database that bundles directly with the application repository.</w:t>
            </w:r>
          </w:p>
        </w:tc>
      </w:tr>
      <w:tr>
        <w:tc>
          <w:tcPr>
            <w:tcW w:type="dxa" w:w="1872"/>
            <w:shd w:fill="F0FDF4"/>
            <w:tcMar>
              <w:top w:w="90" w:type="dxa"/>
              <w:bottom w:w="90" w:type="dxa"/>
              <w:left w:w="140" w:type="dxa"/>
              <w:right w:w="140" w:type="dxa"/>
            </w:tcMar>
          </w:tcPr>
          <w:p>
            <w:pPr>
              <w:jc w:val="left"/>
            </w:pPr>
            <w:r>
              <w:rPr>
                <w:rFonts w:ascii="Calibri" w:hAnsi="Calibri"/>
                <w:color w:val="1E293B"/>
                <w:sz w:val="18"/>
              </w:rPr>
              <w:t>Web Framework</w:t>
            </w:r>
          </w:p>
        </w:tc>
        <w:tc>
          <w:tcPr>
            <w:tcW w:type="dxa" w:w="2160"/>
            <w:shd w:fill="F0FDF4"/>
            <w:tcMar>
              <w:top w:w="90" w:type="dxa"/>
              <w:bottom w:w="90" w:type="dxa"/>
              <w:left w:w="140" w:type="dxa"/>
              <w:right w:w="140" w:type="dxa"/>
            </w:tcMar>
          </w:tcPr>
          <w:p>
            <w:r>
              <w:rPr>
                <w:rFonts w:ascii="Calibri" w:hAnsi="Calibri"/>
                <w:color w:val="1E293B"/>
                <w:sz w:val="18"/>
              </w:rPr>
              <w:t>Streamlit 1.50</w:t>
            </w:r>
          </w:p>
        </w:tc>
        <w:tc>
          <w:tcPr>
            <w:tcW w:type="dxa" w:w="2016"/>
            <w:shd w:fill="F0FDF4"/>
            <w:tcMar>
              <w:top w:w="90" w:type="dxa"/>
              <w:bottom w:w="90" w:type="dxa"/>
              <w:left w:w="140" w:type="dxa"/>
              <w:right w:w="140" w:type="dxa"/>
            </w:tcMar>
          </w:tcPr>
          <w:p>
            <w:r>
              <w:rPr>
                <w:rFonts w:ascii="Calibri" w:hAnsi="Calibri"/>
                <w:color w:val="1E293B"/>
                <w:sz w:val="18"/>
              </w:rPr>
              <w:t>Django / Flask / React</w:t>
            </w:r>
          </w:p>
        </w:tc>
        <w:tc>
          <w:tcPr>
            <w:tcW w:type="dxa" w:w="4032"/>
            <w:shd w:fill="F0FDF4"/>
            <w:tcMar>
              <w:top w:w="90" w:type="dxa"/>
              <w:bottom w:w="90" w:type="dxa"/>
              <w:left w:w="140" w:type="dxa"/>
              <w:right w:w="140" w:type="dxa"/>
            </w:tcMar>
          </w:tcPr>
          <w:p>
            <w:r>
              <w:rPr>
                <w:rFonts w:ascii="Calibri" w:hAnsi="Calibri"/>
                <w:color w:val="1E293B"/>
                <w:sz w:val="18"/>
              </w:rPr>
              <w:t>Rapid prototyping, built-in reactive data caching, native Plotly chart embedding, and clean responsive layout without complex JavaScript.</w:t>
            </w:r>
          </w:p>
        </w:tc>
      </w:tr>
      <w:tr>
        <w:tc>
          <w:tcPr>
            <w:tcW w:type="dxa" w:w="1872"/>
            <w:shd w:fill="FFFFFF"/>
            <w:tcMar>
              <w:top w:w="90" w:type="dxa"/>
              <w:bottom w:w="90" w:type="dxa"/>
              <w:left w:w="140" w:type="dxa"/>
              <w:right w:w="140" w:type="dxa"/>
            </w:tcMar>
          </w:tcPr>
          <w:p>
            <w:pPr>
              <w:jc w:val="left"/>
            </w:pPr>
            <w:r>
              <w:rPr>
                <w:rFonts w:ascii="Calibri" w:hAnsi="Calibri"/>
                <w:color w:val="1E293B"/>
                <w:sz w:val="18"/>
              </w:rPr>
              <w:t>Visualization</w:t>
            </w:r>
          </w:p>
        </w:tc>
        <w:tc>
          <w:tcPr>
            <w:tcW w:type="dxa" w:w="2160"/>
            <w:shd w:fill="FFFFFF"/>
            <w:tcMar>
              <w:top w:w="90" w:type="dxa"/>
              <w:bottom w:w="90" w:type="dxa"/>
              <w:left w:w="140" w:type="dxa"/>
              <w:right w:w="140" w:type="dxa"/>
            </w:tcMar>
          </w:tcPr>
          <w:p>
            <w:r>
              <w:rPr>
                <w:rFonts w:ascii="Calibri" w:hAnsi="Calibri"/>
                <w:color w:val="1E293B"/>
                <w:sz w:val="18"/>
              </w:rPr>
              <w:t>Plotly Express &amp; Graph Objects</w:t>
            </w:r>
          </w:p>
        </w:tc>
        <w:tc>
          <w:tcPr>
            <w:tcW w:type="dxa" w:w="2016"/>
            <w:shd w:fill="FFFFFF"/>
            <w:tcMar>
              <w:top w:w="90" w:type="dxa"/>
              <w:bottom w:w="90" w:type="dxa"/>
              <w:left w:w="140" w:type="dxa"/>
              <w:right w:w="140" w:type="dxa"/>
            </w:tcMar>
          </w:tcPr>
          <w:p>
            <w:r>
              <w:rPr>
                <w:rFonts w:ascii="Calibri" w:hAnsi="Calibri"/>
                <w:color w:val="1E293B"/>
                <w:sz w:val="18"/>
              </w:rPr>
              <w:t>Matplotlib / Seaborn</w:t>
            </w:r>
          </w:p>
        </w:tc>
        <w:tc>
          <w:tcPr>
            <w:tcW w:type="dxa" w:w="4032"/>
            <w:shd w:fill="FFFFFF"/>
            <w:tcMar>
              <w:top w:w="90" w:type="dxa"/>
              <w:bottom w:w="90" w:type="dxa"/>
              <w:left w:w="140" w:type="dxa"/>
              <w:right w:w="140" w:type="dxa"/>
            </w:tcMar>
          </w:tcPr>
          <w:p>
            <w:r>
              <w:rPr>
                <w:rFonts w:ascii="Calibri" w:hAnsi="Calibri"/>
                <w:color w:val="1E293B"/>
                <w:sz w:val="18"/>
              </w:rPr>
              <w:t>Interactive zoom, pan, hover tooltips, and dynamic multi-axis formatting essential for exploring price fluctuation curves.</w:t>
            </w:r>
          </w:p>
        </w:tc>
      </w:tr>
      <w:tr>
        <w:tc>
          <w:tcPr>
            <w:tcW w:type="dxa" w:w="1872"/>
            <w:shd w:fill="F0FDF4"/>
            <w:tcMar>
              <w:top w:w="90" w:type="dxa"/>
              <w:bottom w:w="90" w:type="dxa"/>
              <w:left w:w="140" w:type="dxa"/>
              <w:right w:w="140" w:type="dxa"/>
            </w:tcMar>
          </w:tcPr>
          <w:p>
            <w:pPr>
              <w:jc w:val="left"/>
            </w:pPr>
            <w:r>
              <w:rPr>
                <w:rFonts w:ascii="Calibri" w:hAnsi="Calibri"/>
                <w:color w:val="1E293B"/>
                <w:sz w:val="18"/>
              </w:rPr>
              <w:t>Data Scaling</w:t>
            </w:r>
          </w:p>
        </w:tc>
        <w:tc>
          <w:tcPr>
            <w:tcW w:type="dxa" w:w="2160"/>
            <w:shd w:fill="F0FDF4"/>
            <w:tcMar>
              <w:top w:w="90" w:type="dxa"/>
              <w:bottom w:w="90" w:type="dxa"/>
              <w:left w:w="140" w:type="dxa"/>
              <w:right w:w="140" w:type="dxa"/>
            </w:tcMar>
          </w:tcPr>
          <w:p>
            <w:r>
              <w:rPr>
                <w:rFonts w:ascii="Calibri" w:hAnsi="Calibri"/>
                <w:color w:val="1E293B"/>
                <w:sz w:val="18"/>
              </w:rPr>
              <w:t>Scikit-learn (Joblib)</w:t>
            </w:r>
          </w:p>
        </w:tc>
        <w:tc>
          <w:tcPr>
            <w:tcW w:type="dxa" w:w="2016"/>
            <w:shd w:fill="F0FDF4"/>
            <w:tcMar>
              <w:top w:w="90" w:type="dxa"/>
              <w:bottom w:w="90" w:type="dxa"/>
              <w:left w:w="140" w:type="dxa"/>
              <w:right w:w="140" w:type="dxa"/>
            </w:tcMar>
          </w:tcPr>
          <w:p>
            <w:r>
              <w:rPr>
                <w:rFonts w:ascii="Calibri" w:hAnsi="Calibri"/>
                <w:color w:val="1E293B"/>
                <w:sz w:val="18"/>
              </w:rPr>
              <w:t>Manual Normalization</w:t>
            </w:r>
          </w:p>
        </w:tc>
        <w:tc>
          <w:tcPr>
            <w:tcW w:type="dxa" w:w="4032"/>
            <w:shd w:fill="F0FDF4"/>
            <w:tcMar>
              <w:top w:w="90" w:type="dxa"/>
              <w:bottom w:w="90" w:type="dxa"/>
              <w:left w:w="140" w:type="dxa"/>
              <w:right w:w="140" w:type="dxa"/>
            </w:tcMar>
          </w:tcPr>
          <w:p>
            <w:r>
              <w:rPr>
                <w:rFonts w:ascii="Calibri" w:hAnsi="Calibri"/>
                <w:color w:val="1E293B"/>
                <w:sz w:val="18"/>
              </w:rPr>
              <w:t>StandardScaler ensures consistent z-score scaling across features with reproducible transformation weights.</w:t>
            </w:r>
          </w:p>
        </w:tc>
      </w:tr>
    </w:tbl>
    <w:p/>
    <w:p>
      <w:pPr>
        <w:pStyle w:val="Heading2"/>
      </w:pPr>
      <w:r>
        <w:t>5.6 User Interface Designs and Executional Evidence</w:t>
      </w:r>
    </w:p>
    <w:p>
      <w:r>
        <w:t>The user interface was designed with a clean, professional aesthetic using custom CSS tokens, an agricultural forest-green color palette, and zero decorative emojis to ensure credibility with agricultural officers and farmers. The following figures present screenshots of the five operational modules captured directly from the live running application.</w:t>
      </w:r>
    </w:p>
    <w:p>
      <w:pPr>
        <w:pStyle w:val="Heading3"/>
      </w:pPr>
      <w:r>
        <w:t>5.6.1 Module 1: Executive Overview</w:t>
      </w:r>
    </w:p>
    <w:p>
      <w:r>
        <w:t>Figure 5.1 shows the Executive Overview dashboard. It highlights key system metrics: 9 commercial crops monitored, 2,772 monthly price records (2000-2025), 142k weather observations, and 100% survey data validation. Below the KPI cards, the research background, problem statement, and crop agronomic profiles table are displayed.</w:t>
      </w:r>
    </w:p>
    <w:p>
      <w:pPr>
        <w:spacing w:before="200" w:after="80"/>
        <w:jc w:val="center"/>
      </w:pPr>
      <w:r>
        <w:drawing>
          <wp:inline xmlns:a="http://schemas.openxmlformats.org/drawingml/2006/main" xmlns:pic="http://schemas.openxmlformats.org/drawingml/2006/picture">
            <wp:extent cx="5669280" cy="3745268"/>
            <wp:docPr id="5" name="Picture 5"/>
            <wp:cNvGraphicFramePr>
              <a:graphicFrameLocks noChangeAspect="1"/>
            </wp:cNvGraphicFramePr>
            <a:graphic>
              <a:graphicData uri="http://schemas.openxmlformats.org/drawingml/2006/picture">
                <pic:pic>
                  <pic:nvPicPr>
                    <pic:cNvPr id="0" name="1_executive_overview.png"/>
                    <pic:cNvPicPr/>
                  </pic:nvPicPr>
                  <pic:blipFill>
                    <a:blip r:embed="rId13"/>
                    <a:stretch>
                      <a:fillRect/>
                    </a:stretch>
                  </pic:blipFill>
                  <pic:spPr>
                    <a:xfrm>
                      <a:off x="0" y="0"/>
                      <a:ext cx="5669280" cy="3745268"/>
                    </a:xfrm>
                    <a:prstGeom prst="rect"/>
                  </pic:spPr>
                </pic:pic>
              </a:graphicData>
            </a:graphic>
          </wp:inline>
        </w:drawing>
      </w:r>
    </w:p>
    <w:p>
      <w:pPr>
        <w:spacing w:after="280"/>
        <w:jc w:val="center"/>
      </w:pPr>
      <w:r>
        <w:rPr>
          <w:rFonts w:ascii="Calibri" w:hAnsi="Calibri"/>
          <w:b/>
          <w:i/>
          <w:color w:val="4B5563"/>
          <w:sz w:val="19"/>
        </w:rPr>
        <w:t>Figure 5.1: Module 1 - Executive Overview Interface</w:t>
      </w:r>
    </w:p>
    <w:p>
      <w:pPr>
        <w:pStyle w:val="Heading3"/>
      </w:pPr>
      <w:r>
        <w:t>5.6.2 Module 2: Farmer Survey Insights</w:t>
      </w:r>
    </w:p>
    <w:p>
      <w:r>
        <w:t>Figure 5.2 shows the Farmer Survey Insights module. It presents interactive visual charts derived from empirical survey data collected from smallholders in Badulla and Welimada, highlighting farming experience tiers, farm sizes, primary causes of price volatility, and key information sources.</w:t>
      </w:r>
    </w:p>
    <w:p>
      <w:pPr>
        <w:spacing w:before="200" w:after="80"/>
        <w:jc w:val="center"/>
      </w:pPr>
      <w:r>
        <w:drawing>
          <wp:inline xmlns:a="http://schemas.openxmlformats.org/drawingml/2006/main" xmlns:pic="http://schemas.openxmlformats.org/drawingml/2006/picture">
            <wp:extent cx="5669280" cy="3745268"/>
            <wp:docPr id="6" name="Picture 6"/>
            <wp:cNvGraphicFramePr>
              <a:graphicFrameLocks noChangeAspect="1"/>
            </wp:cNvGraphicFramePr>
            <a:graphic>
              <a:graphicData uri="http://schemas.openxmlformats.org/drawingml/2006/picture">
                <pic:pic>
                  <pic:nvPicPr>
                    <pic:cNvPr id="0" name="2_farmer_survey_insights.png"/>
                    <pic:cNvPicPr/>
                  </pic:nvPicPr>
                  <pic:blipFill>
                    <a:blip r:embed="rId14"/>
                    <a:stretch>
                      <a:fillRect/>
                    </a:stretch>
                  </pic:blipFill>
                  <pic:spPr>
                    <a:xfrm>
                      <a:off x="0" y="0"/>
                      <a:ext cx="5669280" cy="3745268"/>
                    </a:xfrm>
                    <a:prstGeom prst="rect"/>
                  </pic:spPr>
                </pic:pic>
              </a:graphicData>
            </a:graphic>
          </wp:inline>
        </w:drawing>
      </w:r>
    </w:p>
    <w:p>
      <w:pPr>
        <w:spacing w:after="280"/>
        <w:jc w:val="center"/>
      </w:pPr>
      <w:r>
        <w:rPr>
          <w:rFonts w:ascii="Calibri" w:hAnsi="Calibri"/>
          <w:b/>
          <w:i/>
          <w:color w:val="4B5563"/>
          <w:sz w:val="19"/>
        </w:rPr>
        <w:t>Figure 5.2: Module 2 - Farmer Survey Insights Interface</w:t>
      </w:r>
    </w:p>
    <w:p>
      <w:pPr>
        <w:pStyle w:val="Heading3"/>
      </w:pPr>
      <w:r>
        <w:t>5.6.3 Module 3: Price and Weather Analytics</w:t>
      </w:r>
    </w:p>
    <w:p>
      <w:r>
        <w:t>Figure 5.3 shows the Price and Weather Analytics module. It provides interactive time-series plots comparing farmgate prices, Pettah wholesale prices, and Dambulla economic center prices across 25 years. The bottom section displays cross-correlation heatmaps between meteorological variables (rainfall, ambient temperatures, and sunshine hours) and vegetable prices.</w:t>
      </w:r>
    </w:p>
    <w:p>
      <w:pPr>
        <w:spacing w:before="200" w:after="80"/>
        <w:jc w:val="center"/>
      </w:pPr>
      <w:r>
        <w:drawing>
          <wp:inline xmlns:a="http://schemas.openxmlformats.org/drawingml/2006/main" xmlns:pic="http://schemas.openxmlformats.org/drawingml/2006/picture">
            <wp:extent cx="5669280" cy="3745268"/>
            <wp:docPr id="7" name="Picture 7"/>
            <wp:cNvGraphicFramePr>
              <a:graphicFrameLocks noChangeAspect="1"/>
            </wp:cNvGraphicFramePr>
            <a:graphic>
              <a:graphicData uri="http://schemas.openxmlformats.org/drawingml/2006/picture">
                <pic:pic>
                  <pic:nvPicPr>
                    <pic:cNvPr id="0" name="3_price_weather_analytics.png"/>
                    <pic:cNvPicPr/>
                  </pic:nvPicPr>
                  <pic:blipFill>
                    <a:blip r:embed="rId15"/>
                    <a:stretch>
                      <a:fillRect/>
                    </a:stretch>
                  </pic:blipFill>
                  <pic:spPr>
                    <a:xfrm>
                      <a:off x="0" y="0"/>
                      <a:ext cx="5669280" cy="3745268"/>
                    </a:xfrm>
                    <a:prstGeom prst="rect"/>
                  </pic:spPr>
                </pic:pic>
              </a:graphicData>
            </a:graphic>
          </wp:inline>
        </w:drawing>
      </w:r>
    </w:p>
    <w:p>
      <w:pPr>
        <w:spacing w:after="280"/>
        <w:jc w:val="center"/>
      </w:pPr>
      <w:r>
        <w:rPr>
          <w:rFonts w:ascii="Calibri" w:hAnsi="Calibri"/>
          <w:b/>
          <w:i/>
          <w:color w:val="4B5563"/>
          <w:sz w:val="19"/>
        </w:rPr>
        <w:t>Figure 5.3: Module 3 - Price &amp; Weather Analytics Interface</w:t>
      </w:r>
    </w:p>
    <w:p>
      <w:pPr>
        <w:pStyle w:val="Heading3"/>
      </w:pPr>
      <w:r>
        <w:t>5.6.4 Module 4: PyTorch Forecast and Fluctuation</w:t>
      </w:r>
    </w:p>
    <w:p>
      <w:r>
        <w:t>Figure 5.4 shows the PyTorch Forecast and Fluctuation module. The user selects a crop, starting year (2000 to 2035), starting month, district, and annual inflation rate (default 5.5%). The interface plots the projected nominal price curve with a 90% confidence corridor, the real constant price curve, step fluctuation percentage bars, and expected monthly rainfall and temperature progressions.</w:t>
      </w:r>
    </w:p>
    <w:p>
      <w:pPr>
        <w:spacing w:before="200" w:after="80"/>
        <w:jc w:val="center"/>
      </w:pPr>
      <w:r>
        <w:drawing>
          <wp:inline xmlns:a="http://schemas.openxmlformats.org/drawingml/2006/main" xmlns:pic="http://schemas.openxmlformats.org/drawingml/2006/picture">
            <wp:extent cx="5669280" cy="3745268"/>
            <wp:docPr id="8" name="Picture 8"/>
            <wp:cNvGraphicFramePr>
              <a:graphicFrameLocks noChangeAspect="1"/>
            </wp:cNvGraphicFramePr>
            <a:graphic>
              <a:graphicData uri="http://schemas.openxmlformats.org/drawingml/2006/picture">
                <pic:pic>
                  <pic:nvPicPr>
                    <pic:cNvPr id="0" name="4_pytorch_forecast_fluctuation.png"/>
                    <pic:cNvPicPr/>
                  </pic:nvPicPr>
                  <pic:blipFill>
                    <a:blip r:embed="rId16"/>
                    <a:stretch>
                      <a:fillRect/>
                    </a:stretch>
                  </pic:blipFill>
                  <pic:spPr>
                    <a:xfrm>
                      <a:off x="0" y="0"/>
                      <a:ext cx="5669280" cy="3745268"/>
                    </a:xfrm>
                    <a:prstGeom prst="rect"/>
                  </pic:spPr>
                </pic:pic>
              </a:graphicData>
            </a:graphic>
          </wp:inline>
        </w:drawing>
      </w:r>
    </w:p>
    <w:p>
      <w:pPr>
        <w:spacing w:after="280"/>
        <w:jc w:val="center"/>
      </w:pPr>
      <w:r>
        <w:rPr>
          <w:rFonts w:ascii="Calibri" w:hAnsi="Calibri"/>
          <w:b/>
          <w:i/>
          <w:color w:val="4B5563"/>
          <w:sz w:val="19"/>
        </w:rPr>
        <w:t>Figure 5.4: Module 4 - PyTorch Sequence Forecast &amp; Fluctuation Interface</w:t>
      </w:r>
    </w:p>
    <w:p>
      <w:pPr>
        <w:pStyle w:val="Heading3"/>
      </w:pPr>
      <w:r>
        <w:t>5.6.5 Module 5: Crop Plantation Advisor</w:t>
      </w:r>
    </w:p>
    <w:p>
      <w:r>
        <w:t>Figure 5.5 shows the Crop Plantation Advisor module. Smallholders enter their intended planting month, target district, farm acreage, and risk preference. The engine calculates rankings and displays top recommendation cards with composite scores, expected harvest months, projected farmgate prices, estimated net profit margins, and specific agronomic tips. A complete 9-crop comparative matrix and a CSV export button are provided at the bottom.</w:t>
      </w:r>
    </w:p>
    <w:p>
      <w:pPr>
        <w:spacing w:before="200" w:after="80"/>
        <w:jc w:val="center"/>
      </w:pPr>
      <w:r>
        <w:drawing>
          <wp:inline xmlns:a="http://schemas.openxmlformats.org/drawingml/2006/main" xmlns:pic="http://schemas.openxmlformats.org/drawingml/2006/picture">
            <wp:extent cx="5669280" cy="3745268"/>
            <wp:docPr id="9" name="Picture 9"/>
            <wp:cNvGraphicFramePr>
              <a:graphicFrameLocks noChangeAspect="1"/>
            </wp:cNvGraphicFramePr>
            <a:graphic>
              <a:graphicData uri="http://schemas.openxmlformats.org/drawingml/2006/picture">
                <pic:pic>
                  <pic:nvPicPr>
                    <pic:cNvPr id="0" name="5_crop_plantation_advisor.png"/>
                    <pic:cNvPicPr/>
                  </pic:nvPicPr>
                  <pic:blipFill>
                    <a:blip r:embed="rId17"/>
                    <a:stretch>
                      <a:fillRect/>
                    </a:stretch>
                  </pic:blipFill>
                  <pic:spPr>
                    <a:xfrm>
                      <a:off x="0" y="0"/>
                      <a:ext cx="5669280" cy="3745268"/>
                    </a:xfrm>
                    <a:prstGeom prst="rect"/>
                  </pic:spPr>
                </pic:pic>
              </a:graphicData>
            </a:graphic>
          </wp:inline>
        </w:drawing>
      </w:r>
    </w:p>
    <w:p>
      <w:pPr>
        <w:spacing w:after="280"/>
        <w:jc w:val="center"/>
      </w:pPr>
      <w:r>
        <w:rPr>
          <w:rFonts w:ascii="Calibri" w:hAnsi="Calibri"/>
          <w:b/>
          <w:i/>
          <w:color w:val="4B5563"/>
          <w:sz w:val="19"/>
        </w:rPr>
        <w:t>Figure 5.5: Module 5 - Crop Plantation Advisor Interface</w:t>
      </w:r>
    </w:p>
    <w:p>
      <w:pPr>
        <w:pStyle w:val="Heading2"/>
      </w:pPr>
      <w:r>
        <w:t>5.7 Chapter Summary</w:t>
      </w:r>
    </w:p>
    <w:p>
      <w:r>
        <w:t>This chapter detailed the technical implementation of the Sri Lanka Agri-MIS system. It explained the SQLite data preprocessing pipeline, the PyTorch BiLSTM and temporal attention sequence model, the crop plantation decision engine, the technology justification, and presented operational interface evidence for all five modules. Chapter 6 evaluates the model accuracy, functional test cases, and smallholder field usability.</w:t>
      </w:r>
    </w:p>
    <w:p>
      <w:r>
        <w:br w:type="page"/>
      </w:r>
    </w:p>
    <w:p>
      <w:pPr>
        <w:pStyle w:val="Heading1"/>
      </w:pPr>
      <w:r>
        <w:t>Chapter 6: Testing and Evaluation</w:t>
      </w:r>
    </w:p>
    <w:p>
      <w:pPr>
        <w:pStyle w:val="Heading2"/>
      </w:pPr>
      <w:r>
        <w:t>6.1 Chapter Overview</w:t>
      </w:r>
    </w:p>
    <w:p>
      <w:r>
        <w:t>This chapter evaluates the performance, reliability, and usability of the Sri Lanka Agri-MIS software platform. It documents the test plan and functional test cases, presents quantitative evaluation metrics for the PyTorch sequence model across all 9 crops, reviews field usability testing with smallholders, discusses the accomplishment of research objectives, outlines encountered challenges, and provides self-reflections and future recommendations.</w:t>
      </w:r>
    </w:p>
    <w:p>
      <w:pPr>
        <w:pStyle w:val="Heading2"/>
      </w:pPr>
      <w:r>
        <w:t>6.2 Test Plan and Functional Test Cases</w:t>
      </w:r>
    </w:p>
    <w:p>
      <w:r>
        <w:t>A rigorous testing plan was executed to verify core system workflows, data transformations, neural network inferences, and user interface responsiveness. Table 6.1 documents 10 primary functional test cases covering data loading, sequence predictions, recommendation calculations, and edge-case handling.</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008"/>
            <w:shd w:fill="15803D"/>
            <w:tcMar>
              <w:top w:w="120" w:type="dxa"/>
              <w:bottom w:w="120" w:type="dxa"/>
              <w:left w:w="160" w:type="dxa"/>
              <w:right w:w="160" w:type="dxa"/>
            </w:tcMar>
          </w:tcPr>
          <w:p>
            <w:pPr>
              <w:jc w:val="center"/>
            </w:pPr>
            <w:r>
              <w:rPr>
                <w:rFonts w:ascii="Calibri" w:hAnsi="Calibri"/>
                <w:b/>
                <w:color w:val="FFFFFF"/>
                <w:sz w:val="19"/>
              </w:rPr>
              <w:t>TC ID</w:t>
            </w:r>
          </w:p>
        </w:tc>
        <w:tc>
          <w:tcPr>
            <w:tcW w:type="dxa" w:w="2016"/>
            <w:shd w:fill="15803D"/>
            <w:tcMar>
              <w:top w:w="120" w:type="dxa"/>
              <w:bottom w:w="120" w:type="dxa"/>
              <w:left w:w="160" w:type="dxa"/>
              <w:right w:w="160" w:type="dxa"/>
            </w:tcMar>
          </w:tcPr>
          <w:p>
            <w:pPr>
              <w:jc w:val="center"/>
            </w:pPr>
            <w:r>
              <w:rPr>
                <w:rFonts w:ascii="Calibri" w:hAnsi="Calibri"/>
                <w:b/>
                <w:color w:val="FFFFFF"/>
                <w:sz w:val="19"/>
              </w:rPr>
              <w:t>Test Description</w:t>
            </w:r>
          </w:p>
        </w:tc>
        <w:tc>
          <w:tcPr>
            <w:tcW w:type="dxa" w:w="2016"/>
            <w:shd w:fill="15803D"/>
            <w:tcMar>
              <w:top w:w="120" w:type="dxa"/>
              <w:bottom w:w="120" w:type="dxa"/>
              <w:left w:w="160" w:type="dxa"/>
              <w:right w:w="160" w:type="dxa"/>
            </w:tcMar>
          </w:tcPr>
          <w:p>
            <w:pPr>
              <w:jc w:val="center"/>
            </w:pPr>
            <w:r>
              <w:rPr>
                <w:rFonts w:ascii="Calibri" w:hAnsi="Calibri"/>
                <w:b/>
                <w:color w:val="FFFFFF"/>
                <w:sz w:val="19"/>
              </w:rPr>
              <w:t>Test Inputs</w:t>
            </w:r>
          </w:p>
        </w:tc>
        <w:tc>
          <w:tcPr>
            <w:tcW w:type="dxa" w:w="2592"/>
            <w:shd w:fill="15803D"/>
            <w:tcMar>
              <w:top w:w="120" w:type="dxa"/>
              <w:bottom w:w="120" w:type="dxa"/>
              <w:left w:w="160" w:type="dxa"/>
              <w:right w:w="160" w:type="dxa"/>
            </w:tcMar>
          </w:tcPr>
          <w:p>
            <w:pPr>
              <w:jc w:val="center"/>
            </w:pPr>
            <w:r>
              <w:rPr>
                <w:rFonts w:ascii="Calibri" w:hAnsi="Calibri"/>
                <w:b/>
                <w:color w:val="FFFFFF"/>
                <w:sz w:val="19"/>
              </w:rPr>
              <w:t>Expected Result</w:t>
            </w:r>
          </w:p>
        </w:tc>
        <w:tc>
          <w:tcPr>
            <w:tcW w:type="dxa" w:w="1728"/>
            <w:shd w:fill="15803D"/>
            <w:tcMar>
              <w:top w:w="120" w:type="dxa"/>
              <w:bottom w:w="120" w:type="dxa"/>
              <w:left w:w="160" w:type="dxa"/>
              <w:right w:w="160" w:type="dxa"/>
            </w:tcMar>
          </w:tcPr>
          <w:p>
            <w:pPr>
              <w:jc w:val="center"/>
            </w:pPr>
            <w:r>
              <w:rPr>
                <w:rFonts w:ascii="Calibri" w:hAnsi="Calibri"/>
                <w:b/>
                <w:color w:val="FFFFFF"/>
                <w:sz w:val="19"/>
              </w:rPr>
              <w:t>Actual Result</w:t>
            </w:r>
          </w:p>
        </w:tc>
        <w:tc>
          <w:tcPr>
            <w:tcW w:type="dxa" w:w="720"/>
            <w:shd w:fill="15803D"/>
            <w:tcMar>
              <w:top w:w="120" w:type="dxa"/>
              <w:bottom w:w="120" w:type="dxa"/>
              <w:left w:w="160" w:type="dxa"/>
              <w:right w:w="160" w:type="dxa"/>
            </w:tcMar>
          </w:tcPr>
          <w:p>
            <w:pPr>
              <w:jc w:val="center"/>
            </w:pPr>
            <w:r>
              <w:rPr>
                <w:rFonts w:ascii="Calibri" w:hAnsi="Calibri"/>
                <w:b/>
                <w:color w:val="FFFFFF"/>
                <w:sz w:val="19"/>
              </w:rPr>
              <w:t>Status</w:t>
            </w:r>
          </w:p>
        </w:tc>
      </w:tr>
      <w:tr>
        <w:tc>
          <w:tcPr>
            <w:tcW w:type="dxa" w:w="1008"/>
            <w:shd w:fill="FFFFFF"/>
            <w:tcMar>
              <w:top w:w="90" w:type="dxa"/>
              <w:bottom w:w="90" w:type="dxa"/>
              <w:left w:w="140" w:type="dxa"/>
              <w:right w:w="140" w:type="dxa"/>
            </w:tcMar>
          </w:tcPr>
          <w:p>
            <w:pPr>
              <w:jc w:val="left"/>
            </w:pPr>
            <w:r>
              <w:rPr>
                <w:rFonts w:ascii="Calibri" w:hAnsi="Calibri"/>
                <w:color w:val="1E293B"/>
                <w:sz w:val="18"/>
              </w:rPr>
              <w:t>TC-01</w:t>
            </w:r>
          </w:p>
        </w:tc>
        <w:tc>
          <w:tcPr>
            <w:tcW w:type="dxa" w:w="2016"/>
            <w:shd w:fill="FFFFFF"/>
            <w:tcMar>
              <w:top w:w="90" w:type="dxa"/>
              <w:bottom w:w="90" w:type="dxa"/>
              <w:left w:w="140" w:type="dxa"/>
              <w:right w:w="140" w:type="dxa"/>
            </w:tcMar>
          </w:tcPr>
          <w:p>
            <w:r>
              <w:rPr>
                <w:rFonts w:ascii="Calibri" w:hAnsi="Calibri"/>
                <w:color w:val="1E293B"/>
                <w:sz w:val="18"/>
              </w:rPr>
              <w:t>SQLite Database Connection</w:t>
            </w:r>
          </w:p>
        </w:tc>
        <w:tc>
          <w:tcPr>
            <w:tcW w:type="dxa" w:w="2016"/>
            <w:shd w:fill="FFFFFF"/>
            <w:tcMar>
              <w:top w:w="90" w:type="dxa"/>
              <w:bottom w:w="90" w:type="dxa"/>
              <w:left w:w="140" w:type="dxa"/>
              <w:right w:w="140" w:type="dxa"/>
            </w:tcMar>
          </w:tcPr>
          <w:p>
            <w:r>
              <w:rPr>
                <w:rFonts w:ascii="Calibri" w:hAnsi="Calibri"/>
                <w:color w:val="1E293B"/>
                <w:sz w:val="18"/>
              </w:rPr>
              <w:t>App launch on localhost:8501</w:t>
            </w:r>
          </w:p>
        </w:tc>
        <w:tc>
          <w:tcPr>
            <w:tcW w:type="dxa" w:w="2592"/>
            <w:shd w:fill="FFFFFF"/>
            <w:tcMar>
              <w:top w:w="90" w:type="dxa"/>
              <w:bottom w:w="90" w:type="dxa"/>
              <w:left w:w="140" w:type="dxa"/>
              <w:right w:w="140" w:type="dxa"/>
            </w:tcMar>
          </w:tcPr>
          <w:p>
            <w:r>
              <w:rPr>
                <w:rFonts w:ascii="Calibri" w:hAnsi="Calibri"/>
                <w:color w:val="1E293B"/>
                <w:sz w:val="18"/>
              </w:rPr>
              <w:t>Connects to agriculture_mis.db and loads 2,772 price rows and survey data</w:t>
            </w:r>
          </w:p>
        </w:tc>
        <w:tc>
          <w:tcPr>
            <w:tcW w:type="dxa" w:w="1728"/>
            <w:shd w:fill="FFFFFF"/>
            <w:tcMar>
              <w:top w:w="90" w:type="dxa"/>
              <w:bottom w:w="90" w:type="dxa"/>
              <w:left w:w="140" w:type="dxa"/>
              <w:right w:w="140" w:type="dxa"/>
            </w:tcMar>
          </w:tcPr>
          <w:p>
            <w:r>
              <w:rPr>
                <w:rFonts w:ascii="Calibri" w:hAnsi="Calibri"/>
                <w:color w:val="1E293B"/>
                <w:sz w:val="18"/>
              </w:rPr>
              <w:t>Database queried successfully; KPIs populated</w:t>
            </w:r>
          </w:p>
        </w:tc>
        <w:tc>
          <w:tcPr>
            <w:tcW w:type="dxa" w:w="720"/>
            <w:shd w:fill="FFFFFF"/>
            <w:tcMar>
              <w:top w:w="90" w:type="dxa"/>
              <w:bottom w:w="90" w:type="dxa"/>
              <w:left w:w="140" w:type="dxa"/>
              <w:right w:w="140" w:type="dxa"/>
            </w:tcMar>
          </w:tcPr>
          <w:p>
            <w:r>
              <w:rPr>
                <w:rFonts w:ascii="Calibri" w:hAnsi="Calibri"/>
                <w:color w:val="1E293B"/>
                <w:sz w:val="18"/>
              </w:rPr>
              <w:t>Pass</w:t>
            </w:r>
          </w:p>
        </w:tc>
      </w:tr>
      <w:tr>
        <w:tc>
          <w:tcPr>
            <w:tcW w:type="dxa" w:w="1008"/>
            <w:shd w:fill="F0FDF4"/>
            <w:tcMar>
              <w:top w:w="90" w:type="dxa"/>
              <w:bottom w:w="90" w:type="dxa"/>
              <w:left w:w="140" w:type="dxa"/>
              <w:right w:w="140" w:type="dxa"/>
            </w:tcMar>
          </w:tcPr>
          <w:p>
            <w:pPr>
              <w:jc w:val="left"/>
            </w:pPr>
            <w:r>
              <w:rPr>
                <w:rFonts w:ascii="Calibri" w:hAnsi="Calibri"/>
                <w:color w:val="1E293B"/>
                <w:sz w:val="18"/>
              </w:rPr>
              <w:t>TC-02</w:t>
            </w:r>
          </w:p>
        </w:tc>
        <w:tc>
          <w:tcPr>
            <w:tcW w:type="dxa" w:w="2016"/>
            <w:shd w:fill="F0FDF4"/>
            <w:tcMar>
              <w:top w:w="90" w:type="dxa"/>
              <w:bottom w:w="90" w:type="dxa"/>
              <w:left w:w="140" w:type="dxa"/>
              <w:right w:w="140" w:type="dxa"/>
            </w:tcMar>
          </w:tcPr>
          <w:p>
            <w:r>
              <w:rPr>
                <w:rFonts w:ascii="Calibri" w:hAnsi="Calibri"/>
                <w:color w:val="1E293B"/>
                <w:sz w:val="18"/>
              </w:rPr>
              <w:t>Data Preprocessing Execution</w:t>
            </w:r>
          </w:p>
        </w:tc>
        <w:tc>
          <w:tcPr>
            <w:tcW w:type="dxa" w:w="2016"/>
            <w:shd w:fill="F0FDF4"/>
            <w:tcMar>
              <w:top w:w="90" w:type="dxa"/>
              <w:bottom w:w="90" w:type="dxa"/>
              <w:left w:w="140" w:type="dxa"/>
              <w:right w:w="140" w:type="dxa"/>
            </w:tcMar>
          </w:tcPr>
          <w:p>
            <w:r>
              <w:rPr>
                <w:rFonts w:ascii="Calibri" w:hAnsi="Calibri"/>
                <w:color w:val="1E293B"/>
                <w:sz w:val="18"/>
              </w:rPr>
              <w:t>Run python main.py --preprocess</w:t>
            </w:r>
          </w:p>
        </w:tc>
        <w:tc>
          <w:tcPr>
            <w:tcW w:type="dxa" w:w="2592"/>
            <w:shd w:fill="F0FDF4"/>
            <w:tcMar>
              <w:top w:w="90" w:type="dxa"/>
              <w:bottom w:w="90" w:type="dxa"/>
              <w:left w:w="140" w:type="dxa"/>
              <w:right w:w="140" w:type="dxa"/>
            </w:tcMar>
          </w:tcPr>
          <w:p>
            <w:r>
              <w:rPr>
                <w:rFonts w:ascii="Calibri" w:hAnsi="Calibri"/>
                <w:color w:val="1E293B"/>
                <w:sz w:val="18"/>
              </w:rPr>
              <w:t>Cleans daily weather, engineers lags/sin/cos, builds SQLite DB</w:t>
            </w:r>
          </w:p>
        </w:tc>
        <w:tc>
          <w:tcPr>
            <w:tcW w:type="dxa" w:w="1728"/>
            <w:shd w:fill="F0FDF4"/>
            <w:tcMar>
              <w:top w:w="90" w:type="dxa"/>
              <w:bottom w:w="90" w:type="dxa"/>
              <w:left w:w="140" w:type="dxa"/>
              <w:right w:w="140" w:type="dxa"/>
            </w:tcMar>
          </w:tcPr>
          <w:p>
            <w:r>
              <w:rPr>
                <w:rFonts w:ascii="Calibri" w:hAnsi="Calibri"/>
                <w:color w:val="1E293B"/>
                <w:sz w:val="18"/>
              </w:rPr>
              <w:t>DB built; 6 tables populated with 0 missing values</w:t>
            </w:r>
          </w:p>
        </w:tc>
        <w:tc>
          <w:tcPr>
            <w:tcW w:type="dxa" w:w="720"/>
            <w:shd w:fill="F0FDF4"/>
            <w:tcMar>
              <w:top w:w="90" w:type="dxa"/>
              <w:bottom w:w="90" w:type="dxa"/>
              <w:left w:w="140" w:type="dxa"/>
              <w:right w:w="140" w:type="dxa"/>
            </w:tcMar>
          </w:tcPr>
          <w:p>
            <w:r>
              <w:rPr>
                <w:rFonts w:ascii="Calibri" w:hAnsi="Calibri"/>
                <w:color w:val="1E293B"/>
                <w:sz w:val="18"/>
              </w:rPr>
              <w:t>Pass</w:t>
            </w:r>
          </w:p>
        </w:tc>
      </w:tr>
      <w:tr>
        <w:tc>
          <w:tcPr>
            <w:tcW w:type="dxa" w:w="1008"/>
            <w:shd w:fill="FFFFFF"/>
            <w:tcMar>
              <w:top w:w="90" w:type="dxa"/>
              <w:bottom w:w="90" w:type="dxa"/>
              <w:left w:w="140" w:type="dxa"/>
              <w:right w:w="140" w:type="dxa"/>
            </w:tcMar>
          </w:tcPr>
          <w:p>
            <w:pPr>
              <w:jc w:val="left"/>
            </w:pPr>
            <w:r>
              <w:rPr>
                <w:rFonts w:ascii="Calibri" w:hAnsi="Calibri"/>
                <w:color w:val="1E293B"/>
                <w:sz w:val="18"/>
              </w:rPr>
              <w:t>TC-03</w:t>
            </w:r>
          </w:p>
        </w:tc>
        <w:tc>
          <w:tcPr>
            <w:tcW w:type="dxa" w:w="2016"/>
            <w:shd w:fill="FFFFFF"/>
            <w:tcMar>
              <w:top w:w="90" w:type="dxa"/>
              <w:bottom w:w="90" w:type="dxa"/>
              <w:left w:w="140" w:type="dxa"/>
              <w:right w:w="140" w:type="dxa"/>
            </w:tcMar>
          </w:tcPr>
          <w:p>
            <w:r>
              <w:rPr>
                <w:rFonts w:ascii="Calibri" w:hAnsi="Calibri"/>
                <w:color w:val="1E293B"/>
                <w:sz w:val="18"/>
              </w:rPr>
              <w:t>PyTorch Weights Loading</w:t>
            </w:r>
          </w:p>
        </w:tc>
        <w:tc>
          <w:tcPr>
            <w:tcW w:type="dxa" w:w="2016"/>
            <w:shd w:fill="FFFFFF"/>
            <w:tcMar>
              <w:top w:w="90" w:type="dxa"/>
              <w:bottom w:w="90" w:type="dxa"/>
              <w:left w:w="140" w:type="dxa"/>
              <w:right w:w="140" w:type="dxa"/>
            </w:tcMar>
          </w:tcPr>
          <w:p>
            <w:r>
              <w:rPr>
                <w:rFonts w:ascii="Calibri" w:hAnsi="Calibri"/>
                <w:color w:val="1E293B"/>
                <w:sz w:val="18"/>
              </w:rPr>
              <w:t>Load models/pytorch_crop_lstm.pt</w:t>
            </w:r>
          </w:p>
        </w:tc>
        <w:tc>
          <w:tcPr>
            <w:tcW w:type="dxa" w:w="2592"/>
            <w:shd w:fill="FFFFFF"/>
            <w:tcMar>
              <w:top w:w="90" w:type="dxa"/>
              <w:bottom w:w="90" w:type="dxa"/>
              <w:left w:w="140" w:type="dxa"/>
              <w:right w:w="140" w:type="dxa"/>
            </w:tcMar>
          </w:tcPr>
          <w:p>
            <w:r>
              <w:rPr>
                <w:rFonts w:ascii="Calibri" w:hAnsi="Calibri"/>
                <w:color w:val="1E293B"/>
                <w:sz w:val="18"/>
              </w:rPr>
              <w:t>Model checkpoint loads into memory without tensor size mismatches</w:t>
            </w:r>
          </w:p>
        </w:tc>
        <w:tc>
          <w:tcPr>
            <w:tcW w:type="dxa" w:w="1728"/>
            <w:shd w:fill="FFFFFF"/>
            <w:tcMar>
              <w:top w:w="90" w:type="dxa"/>
              <w:bottom w:w="90" w:type="dxa"/>
              <w:left w:w="140" w:type="dxa"/>
              <w:right w:w="140" w:type="dxa"/>
            </w:tcMar>
          </w:tcPr>
          <w:p>
            <w:r>
              <w:rPr>
                <w:rFonts w:ascii="Calibri" w:hAnsi="Calibri"/>
                <w:color w:val="1E293B"/>
                <w:sz w:val="18"/>
              </w:rPr>
              <w:t>Model initialized with BiLSTM weights and scaler</w:t>
            </w:r>
          </w:p>
        </w:tc>
        <w:tc>
          <w:tcPr>
            <w:tcW w:type="dxa" w:w="720"/>
            <w:shd w:fill="FFFFFF"/>
            <w:tcMar>
              <w:top w:w="90" w:type="dxa"/>
              <w:bottom w:w="90" w:type="dxa"/>
              <w:left w:w="140" w:type="dxa"/>
              <w:right w:w="140" w:type="dxa"/>
            </w:tcMar>
          </w:tcPr>
          <w:p>
            <w:r>
              <w:rPr>
                <w:rFonts w:ascii="Calibri" w:hAnsi="Calibri"/>
                <w:color w:val="1E293B"/>
                <w:sz w:val="18"/>
              </w:rPr>
              <w:t>Pass</w:t>
            </w:r>
          </w:p>
        </w:tc>
      </w:tr>
      <w:tr>
        <w:tc>
          <w:tcPr>
            <w:tcW w:type="dxa" w:w="1008"/>
            <w:shd w:fill="F0FDF4"/>
            <w:tcMar>
              <w:top w:w="90" w:type="dxa"/>
              <w:bottom w:w="90" w:type="dxa"/>
              <w:left w:w="140" w:type="dxa"/>
              <w:right w:w="140" w:type="dxa"/>
            </w:tcMar>
          </w:tcPr>
          <w:p>
            <w:pPr>
              <w:jc w:val="left"/>
            </w:pPr>
            <w:r>
              <w:rPr>
                <w:rFonts w:ascii="Calibri" w:hAnsi="Calibri"/>
                <w:color w:val="1E293B"/>
                <w:sz w:val="18"/>
              </w:rPr>
              <w:t>TC-04</w:t>
            </w:r>
          </w:p>
        </w:tc>
        <w:tc>
          <w:tcPr>
            <w:tcW w:type="dxa" w:w="2016"/>
            <w:shd w:fill="F0FDF4"/>
            <w:tcMar>
              <w:top w:w="90" w:type="dxa"/>
              <w:bottom w:w="90" w:type="dxa"/>
              <w:left w:w="140" w:type="dxa"/>
              <w:right w:w="140" w:type="dxa"/>
            </w:tcMar>
          </w:tcPr>
          <w:p>
            <w:r>
              <w:rPr>
                <w:rFonts w:ascii="Calibri" w:hAnsi="Calibri"/>
                <w:color w:val="1E293B"/>
                <w:sz w:val="18"/>
              </w:rPr>
              <w:t>Sequence Forecast Horizon</w:t>
            </w:r>
          </w:p>
        </w:tc>
        <w:tc>
          <w:tcPr>
            <w:tcW w:type="dxa" w:w="2016"/>
            <w:shd w:fill="F0FDF4"/>
            <w:tcMar>
              <w:top w:w="90" w:type="dxa"/>
              <w:bottom w:w="90" w:type="dxa"/>
              <w:left w:w="140" w:type="dxa"/>
              <w:right w:w="140" w:type="dxa"/>
            </w:tcMar>
          </w:tcPr>
          <w:p>
            <w:r>
              <w:rPr>
                <w:rFonts w:ascii="Calibri" w:hAnsi="Calibri"/>
                <w:color w:val="1E293B"/>
                <w:sz w:val="18"/>
              </w:rPr>
              <w:t>Crop: Carrot, Start: 2026-10, Horizon: 6m</w:t>
            </w:r>
          </w:p>
        </w:tc>
        <w:tc>
          <w:tcPr>
            <w:tcW w:type="dxa" w:w="2592"/>
            <w:shd w:fill="F0FDF4"/>
            <w:tcMar>
              <w:top w:w="90" w:type="dxa"/>
              <w:bottom w:w="90" w:type="dxa"/>
              <w:left w:w="140" w:type="dxa"/>
              <w:right w:w="140" w:type="dxa"/>
            </w:tcMar>
          </w:tcPr>
          <w:p>
            <w:r>
              <w:rPr>
                <w:rFonts w:ascii="Calibri" w:hAnsi="Calibri"/>
                <w:color w:val="1E293B"/>
                <w:sz w:val="18"/>
              </w:rPr>
              <w:t>Generates 6 monthly price steps with nominal and real curves</w:t>
            </w:r>
          </w:p>
        </w:tc>
        <w:tc>
          <w:tcPr>
            <w:tcW w:type="dxa" w:w="1728"/>
            <w:shd w:fill="F0FDF4"/>
            <w:tcMar>
              <w:top w:w="90" w:type="dxa"/>
              <w:bottom w:w="90" w:type="dxa"/>
              <w:left w:w="140" w:type="dxa"/>
              <w:right w:w="140" w:type="dxa"/>
            </w:tcMar>
          </w:tcPr>
          <w:p>
            <w:r>
              <w:rPr>
                <w:rFonts w:ascii="Calibri" w:hAnsi="Calibri"/>
                <w:color w:val="1E293B"/>
                <w:sz w:val="18"/>
              </w:rPr>
              <w:t>6 step values rendered with confidence corridor</w:t>
            </w:r>
          </w:p>
        </w:tc>
        <w:tc>
          <w:tcPr>
            <w:tcW w:type="dxa" w:w="720"/>
            <w:shd w:fill="F0FDF4"/>
            <w:tcMar>
              <w:top w:w="90" w:type="dxa"/>
              <w:bottom w:w="90" w:type="dxa"/>
              <w:left w:w="140" w:type="dxa"/>
              <w:right w:w="140" w:type="dxa"/>
            </w:tcMar>
          </w:tcPr>
          <w:p>
            <w:r>
              <w:rPr>
                <w:rFonts w:ascii="Calibri" w:hAnsi="Calibri"/>
                <w:color w:val="1E293B"/>
                <w:sz w:val="18"/>
              </w:rPr>
              <w:t>Pass</w:t>
            </w:r>
          </w:p>
        </w:tc>
      </w:tr>
      <w:tr>
        <w:tc>
          <w:tcPr>
            <w:tcW w:type="dxa" w:w="1008"/>
            <w:shd w:fill="FFFFFF"/>
            <w:tcMar>
              <w:top w:w="90" w:type="dxa"/>
              <w:bottom w:w="90" w:type="dxa"/>
              <w:left w:w="140" w:type="dxa"/>
              <w:right w:w="140" w:type="dxa"/>
            </w:tcMar>
          </w:tcPr>
          <w:p>
            <w:pPr>
              <w:jc w:val="left"/>
            </w:pPr>
            <w:r>
              <w:rPr>
                <w:rFonts w:ascii="Calibri" w:hAnsi="Calibri"/>
                <w:color w:val="1E293B"/>
                <w:sz w:val="18"/>
              </w:rPr>
              <w:t>TC-05</w:t>
            </w:r>
          </w:p>
        </w:tc>
        <w:tc>
          <w:tcPr>
            <w:tcW w:type="dxa" w:w="2016"/>
            <w:shd w:fill="FFFFFF"/>
            <w:tcMar>
              <w:top w:w="90" w:type="dxa"/>
              <w:bottom w:w="90" w:type="dxa"/>
              <w:left w:w="140" w:type="dxa"/>
              <w:right w:w="140" w:type="dxa"/>
            </w:tcMar>
          </w:tcPr>
          <w:p>
            <w:r>
              <w:rPr>
                <w:rFonts w:ascii="Calibri" w:hAnsi="Calibri"/>
                <w:color w:val="1E293B"/>
                <w:sz w:val="18"/>
              </w:rPr>
              <w:t>Inflation Compounding Logic</w:t>
            </w:r>
          </w:p>
        </w:tc>
        <w:tc>
          <w:tcPr>
            <w:tcW w:type="dxa" w:w="2016"/>
            <w:shd w:fill="FFFFFF"/>
            <w:tcMar>
              <w:top w:w="90" w:type="dxa"/>
              <w:bottom w:w="90" w:type="dxa"/>
              <w:left w:w="140" w:type="dxa"/>
              <w:right w:w="140" w:type="dxa"/>
            </w:tcMar>
          </w:tcPr>
          <w:p>
            <w:r>
              <w:rPr>
                <w:rFonts w:ascii="Calibri" w:hAnsi="Calibri"/>
                <w:color w:val="1E293B"/>
                <w:sz w:val="18"/>
              </w:rPr>
              <w:t>Annual inflation set to 10.0%</w:t>
            </w:r>
          </w:p>
        </w:tc>
        <w:tc>
          <w:tcPr>
            <w:tcW w:type="dxa" w:w="2592"/>
            <w:shd w:fill="FFFFFF"/>
            <w:tcMar>
              <w:top w:w="90" w:type="dxa"/>
              <w:bottom w:w="90" w:type="dxa"/>
              <w:left w:w="140" w:type="dxa"/>
              <w:right w:w="140" w:type="dxa"/>
            </w:tcMar>
          </w:tcPr>
          <w:p>
            <w:r>
              <w:rPr>
                <w:rFonts w:ascii="Calibri" w:hAnsi="Calibri"/>
                <w:color w:val="1E293B"/>
                <w:sz w:val="18"/>
              </w:rPr>
              <w:t>Nominal prices scale upward by (1 + r_month)^k relative to real price</w:t>
            </w:r>
          </w:p>
        </w:tc>
        <w:tc>
          <w:tcPr>
            <w:tcW w:type="dxa" w:w="1728"/>
            <w:shd w:fill="FFFFFF"/>
            <w:tcMar>
              <w:top w:w="90" w:type="dxa"/>
              <w:bottom w:w="90" w:type="dxa"/>
              <w:left w:w="140" w:type="dxa"/>
              <w:right w:w="140" w:type="dxa"/>
            </w:tcMar>
          </w:tcPr>
          <w:p>
            <w:r>
              <w:rPr>
                <w:rFonts w:ascii="Calibri" w:hAnsi="Calibri"/>
                <w:color w:val="1E293B"/>
                <w:sz w:val="18"/>
              </w:rPr>
              <w:t>Calculated nominal prices match formula exactly</w:t>
            </w:r>
          </w:p>
        </w:tc>
        <w:tc>
          <w:tcPr>
            <w:tcW w:type="dxa" w:w="720"/>
            <w:shd w:fill="FFFFFF"/>
            <w:tcMar>
              <w:top w:w="90" w:type="dxa"/>
              <w:bottom w:w="90" w:type="dxa"/>
              <w:left w:w="140" w:type="dxa"/>
              <w:right w:w="140" w:type="dxa"/>
            </w:tcMar>
          </w:tcPr>
          <w:p>
            <w:r>
              <w:rPr>
                <w:rFonts w:ascii="Calibri" w:hAnsi="Calibri"/>
                <w:color w:val="1E293B"/>
                <w:sz w:val="18"/>
              </w:rPr>
              <w:t>Pass</w:t>
            </w:r>
          </w:p>
        </w:tc>
      </w:tr>
      <w:tr>
        <w:tc>
          <w:tcPr>
            <w:tcW w:type="dxa" w:w="1008"/>
            <w:shd w:fill="F0FDF4"/>
            <w:tcMar>
              <w:top w:w="90" w:type="dxa"/>
              <w:bottom w:w="90" w:type="dxa"/>
              <w:left w:w="140" w:type="dxa"/>
              <w:right w:w="140" w:type="dxa"/>
            </w:tcMar>
          </w:tcPr>
          <w:p>
            <w:pPr>
              <w:jc w:val="left"/>
            </w:pPr>
            <w:r>
              <w:rPr>
                <w:rFonts w:ascii="Calibri" w:hAnsi="Calibri"/>
                <w:color w:val="1E293B"/>
                <w:sz w:val="18"/>
              </w:rPr>
              <w:t>TC-06</w:t>
            </w:r>
          </w:p>
        </w:tc>
        <w:tc>
          <w:tcPr>
            <w:tcW w:type="dxa" w:w="2016"/>
            <w:shd w:fill="F0FDF4"/>
            <w:tcMar>
              <w:top w:w="90" w:type="dxa"/>
              <w:bottom w:w="90" w:type="dxa"/>
              <w:left w:w="140" w:type="dxa"/>
              <w:right w:w="140" w:type="dxa"/>
            </w:tcMar>
          </w:tcPr>
          <w:p>
            <w:r>
              <w:rPr>
                <w:rFonts w:ascii="Calibri" w:hAnsi="Calibri"/>
                <w:color w:val="1E293B"/>
                <w:sz w:val="18"/>
              </w:rPr>
              <w:t>Backward Time Direction</w:t>
            </w:r>
          </w:p>
        </w:tc>
        <w:tc>
          <w:tcPr>
            <w:tcW w:type="dxa" w:w="2016"/>
            <w:shd w:fill="F0FDF4"/>
            <w:tcMar>
              <w:top w:w="90" w:type="dxa"/>
              <w:bottom w:w="90" w:type="dxa"/>
              <w:left w:w="140" w:type="dxa"/>
              <w:right w:w="140" w:type="dxa"/>
            </w:tcMar>
          </w:tcPr>
          <w:p>
            <w:r>
              <w:rPr>
                <w:rFonts w:ascii="Calibri" w:hAnsi="Calibri"/>
                <w:color w:val="1E293B"/>
                <w:sz w:val="18"/>
              </w:rPr>
              <w:t>Direction: Backward, Start: 2024-01</w:t>
            </w:r>
          </w:p>
        </w:tc>
        <w:tc>
          <w:tcPr>
            <w:tcW w:type="dxa" w:w="2592"/>
            <w:shd w:fill="F0FDF4"/>
            <w:tcMar>
              <w:top w:w="90" w:type="dxa"/>
              <w:bottom w:w="90" w:type="dxa"/>
              <w:left w:w="140" w:type="dxa"/>
              <w:right w:w="140" w:type="dxa"/>
            </w:tcMar>
          </w:tcPr>
          <w:p>
            <w:r>
              <w:rPr>
                <w:rFonts w:ascii="Calibri" w:hAnsi="Calibri"/>
                <w:color w:val="1E293B"/>
                <w:sz w:val="18"/>
              </w:rPr>
              <w:t>Projects reverse price trajectory and deflates nominal values</w:t>
            </w:r>
          </w:p>
        </w:tc>
        <w:tc>
          <w:tcPr>
            <w:tcW w:type="dxa" w:w="1728"/>
            <w:shd w:fill="F0FDF4"/>
            <w:tcMar>
              <w:top w:w="90" w:type="dxa"/>
              <w:bottom w:w="90" w:type="dxa"/>
              <w:left w:w="140" w:type="dxa"/>
              <w:right w:w="140" w:type="dxa"/>
            </w:tcMar>
          </w:tcPr>
          <w:p>
            <w:r>
              <w:rPr>
                <w:rFonts w:ascii="Calibri" w:hAnsi="Calibri"/>
                <w:color w:val="1E293B"/>
                <w:sz w:val="18"/>
              </w:rPr>
              <w:t>Backward trajectory rendered correctly</w:t>
            </w:r>
          </w:p>
        </w:tc>
        <w:tc>
          <w:tcPr>
            <w:tcW w:type="dxa" w:w="720"/>
            <w:shd w:fill="F0FDF4"/>
            <w:tcMar>
              <w:top w:w="90" w:type="dxa"/>
              <w:bottom w:w="90" w:type="dxa"/>
              <w:left w:w="140" w:type="dxa"/>
              <w:right w:w="140" w:type="dxa"/>
            </w:tcMar>
          </w:tcPr>
          <w:p>
            <w:r>
              <w:rPr>
                <w:rFonts w:ascii="Calibri" w:hAnsi="Calibri"/>
                <w:color w:val="1E293B"/>
                <w:sz w:val="18"/>
              </w:rPr>
              <w:t>Pass</w:t>
            </w:r>
          </w:p>
        </w:tc>
      </w:tr>
      <w:tr>
        <w:tc>
          <w:tcPr>
            <w:tcW w:type="dxa" w:w="1008"/>
            <w:shd w:fill="FFFFFF"/>
            <w:tcMar>
              <w:top w:w="90" w:type="dxa"/>
              <w:bottom w:w="90" w:type="dxa"/>
              <w:left w:w="140" w:type="dxa"/>
              <w:right w:w="140" w:type="dxa"/>
            </w:tcMar>
          </w:tcPr>
          <w:p>
            <w:pPr>
              <w:jc w:val="left"/>
            </w:pPr>
            <w:r>
              <w:rPr>
                <w:rFonts w:ascii="Calibri" w:hAnsi="Calibri"/>
                <w:color w:val="1E293B"/>
                <w:sz w:val="18"/>
              </w:rPr>
              <w:t>TC-07</w:t>
            </w:r>
          </w:p>
        </w:tc>
        <w:tc>
          <w:tcPr>
            <w:tcW w:type="dxa" w:w="2016"/>
            <w:shd w:fill="FFFFFF"/>
            <w:tcMar>
              <w:top w:w="90" w:type="dxa"/>
              <w:bottom w:w="90" w:type="dxa"/>
              <w:left w:w="140" w:type="dxa"/>
              <w:right w:w="140" w:type="dxa"/>
            </w:tcMar>
          </w:tcPr>
          <w:p>
            <w:r>
              <w:rPr>
                <w:rFonts w:ascii="Calibri" w:hAnsi="Calibri"/>
                <w:color w:val="1E293B"/>
                <w:sz w:val="18"/>
              </w:rPr>
              <w:t>Gestation Month Matching</w:t>
            </w:r>
          </w:p>
        </w:tc>
        <w:tc>
          <w:tcPr>
            <w:tcW w:type="dxa" w:w="2016"/>
            <w:shd w:fill="FFFFFF"/>
            <w:tcMar>
              <w:top w:w="90" w:type="dxa"/>
              <w:bottom w:w="90" w:type="dxa"/>
              <w:left w:w="140" w:type="dxa"/>
              <w:right w:w="140" w:type="dxa"/>
            </w:tcMar>
          </w:tcPr>
          <w:p>
            <w:r>
              <w:rPr>
                <w:rFonts w:ascii="Calibri" w:hAnsi="Calibri"/>
                <w:color w:val="1E293B"/>
                <w:sz w:val="18"/>
              </w:rPr>
              <w:t>Planting Month: 10 (Oct), Crop: Beans (2m)</w:t>
            </w:r>
          </w:p>
        </w:tc>
        <w:tc>
          <w:tcPr>
            <w:tcW w:type="dxa" w:w="2592"/>
            <w:shd w:fill="FFFFFF"/>
            <w:tcMar>
              <w:top w:w="90" w:type="dxa"/>
              <w:bottom w:w="90" w:type="dxa"/>
              <w:left w:w="140" w:type="dxa"/>
              <w:right w:w="140" w:type="dxa"/>
            </w:tcMar>
          </w:tcPr>
          <w:p>
            <w:r>
              <w:rPr>
                <w:rFonts w:ascii="Calibri" w:hAnsi="Calibri"/>
                <w:color w:val="1E293B"/>
                <w:sz w:val="18"/>
              </w:rPr>
              <w:t>Harvest month assigned as December (Month 12)</w:t>
            </w:r>
          </w:p>
        </w:tc>
        <w:tc>
          <w:tcPr>
            <w:tcW w:type="dxa" w:w="1728"/>
            <w:shd w:fill="FFFFFF"/>
            <w:tcMar>
              <w:top w:w="90" w:type="dxa"/>
              <w:bottom w:w="90" w:type="dxa"/>
              <w:left w:w="140" w:type="dxa"/>
              <w:right w:w="140" w:type="dxa"/>
            </w:tcMar>
          </w:tcPr>
          <w:p>
            <w:r>
              <w:rPr>
                <w:rFonts w:ascii="Calibri" w:hAnsi="Calibri"/>
                <w:color w:val="1E293B"/>
                <w:sz w:val="18"/>
              </w:rPr>
              <w:t>Harvest month calculated as December (Cycle: 2m)</w:t>
            </w:r>
          </w:p>
        </w:tc>
        <w:tc>
          <w:tcPr>
            <w:tcW w:type="dxa" w:w="720"/>
            <w:shd w:fill="FFFFFF"/>
            <w:tcMar>
              <w:top w:w="90" w:type="dxa"/>
              <w:bottom w:w="90" w:type="dxa"/>
              <w:left w:w="140" w:type="dxa"/>
              <w:right w:w="140" w:type="dxa"/>
            </w:tcMar>
          </w:tcPr>
          <w:p>
            <w:r>
              <w:rPr>
                <w:rFonts w:ascii="Calibri" w:hAnsi="Calibri"/>
                <w:color w:val="1E293B"/>
                <w:sz w:val="18"/>
              </w:rPr>
              <w:t>Pass</w:t>
            </w:r>
          </w:p>
        </w:tc>
      </w:tr>
      <w:tr>
        <w:tc>
          <w:tcPr>
            <w:tcW w:type="dxa" w:w="1008"/>
            <w:shd w:fill="F0FDF4"/>
            <w:tcMar>
              <w:top w:w="90" w:type="dxa"/>
              <w:bottom w:w="90" w:type="dxa"/>
              <w:left w:w="140" w:type="dxa"/>
              <w:right w:w="140" w:type="dxa"/>
            </w:tcMar>
          </w:tcPr>
          <w:p>
            <w:pPr>
              <w:jc w:val="left"/>
            </w:pPr>
            <w:r>
              <w:rPr>
                <w:rFonts w:ascii="Calibri" w:hAnsi="Calibri"/>
                <w:color w:val="1E293B"/>
                <w:sz w:val="18"/>
              </w:rPr>
              <w:t>TC-08</w:t>
            </w:r>
          </w:p>
        </w:tc>
        <w:tc>
          <w:tcPr>
            <w:tcW w:type="dxa" w:w="2016"/>
            <w:shd w:fill="F0FDF4"/>
            <w:tcMar>
              <w:top w:w="90" w:type="dxa"/>
              <w:bottom w:w="90" w:type="dxa"/>
              <w:left w:w="140" w:type="dxa"/>
              <w:right w:w="140" w:type="dxa"/>
            </w:tcMar>
          </w:tcPr>
          <w:p>
            <w:r>
              <w:rPr>
                <w:rFonts w:ascii="Calibri" w:hAnsi="Calibri"/>
                <w:color w:val="1E293B"/>
                <w:sz w:val="18"/>
              </w:rPr>
              <w:t>Climate Suitability Scoring</w:t>
            </w:r>
          </w:p>
        </w:tc>
        <w:tc>
          <w:tcPr>
            <w:tcW w:type="dxa" w:w="2016"/>
            <w:shd w:fill="F0FDF4"/>
            <w:tcMar>
              <w:top w:w="90" w:type="dxa"/>
              <w:bottom w:w="90" w:type="dxa"/>
              <w:left w:w="140" w:type="dxa"/>
              <w:right w:w="140" w:type="dxa"/>
            </w:tcMar>
          </w:tcPr>
          <w:p>
            <w:r>
              <w:rPr>
                <w:rFonts w:ascii="Calibri" w:hAnsi="Calibri"/>
                <w:color w:val="1E293B"/>
                <w:sz w:val="18"/>
              </w:rPr>
              <w:t>District: Badulla, Crop: Pumpkin in Maha</w:t>
            </w:r>
          </w:p>
        </w:tc>
        <w:tc>
          <w:tcPr>
            <w:tcW w:type="dxa" w:w="2592"/>
            <w:shd w:fill="F0FDF4"/>
            <w:tcMar>
              <w:top w:w="90" w:type="dxa"/>
              <w:bottom w:w="90" w:type="dxa"/>
              <w:left w:w="140" w:type="dxa"/>
              <w:right w:w="140" w:type="dxa"/>
            </w:tcMar>
          </w:tcPr>
          <w:p>
            <w:r>
              <w:rPr>
                <w:rFonts w:ascii="Calibri" w:hAnsi="Calibri"/>
                <w:color w:val="1E293B"/>
                <w:sz w:val="18"/>
              </w:rPr>
              <w:t>Scores 100% match due to matching temperature and rainfall ranges</w:t>
            </w:r>
          </w:p>
        </w:tc>
        <w:tc>
          <w:tcPr>
            <w:tcW w:type="dxa" w:w="1728"/>
            <w:shd w:fill="F0FDF4"/>
            <w:tcMar>
              <w:top w:w="90" w:type="dxa"/>
              <w:bottom w:w="90" w:type="dxa"/>
              <w:left w:w="140" w:type="dxa"/>
              <w:right w:w="140" w:type="dxa"/>
            </w:tcMar>
          </w:tcPr>
          <w:p>
            <w:r>
              <w:rPr>
                <w:rFonts w:ascii="Calibri" w:hAnsi="Calibri"/>
                <w:color w:val="1E293B"/>
                <w:sz w:val="18"/>
              </w:rPr>
              <w:t>Climate match score returned 100.0%</w:t>
            </w:r>
          </w:p>
        </w:tc>
        <w:tc>
          <w:tcPr>
            <w:tcW w:type="dxa" w:w="720"/>
            <w:shd w:fill="F0FDF4"/>
            <w:tcMar>
              <w:top w:w="90" w:type="dxa"/>
              <w:bottom w:w="90" w:type="dxa"/>
              <w:left w:w="140" w:type="dxa"/>
              <w:right w:w="140" w:type="dxa"/>
            </w:tcMar>
          </w:tcPr>
          <w:p>
            <w:r>
              <w:rPr>
                <w:rFonts w:ascii="Calibri" w:hAnsi="Calibri"/>
                <w:color w:val="1E293B"/>
                <w:sz w:val="18"/>
              </w:rPr>
              <w:t>Pass</w:t>
            </w:r>
          </w:p>
        </w:tc>
      </w:tr>
      <w:tr>
        <w:tc>
          <w:tcPr>
            <w:tcW w:type="dxa" w:w="1008"/>
            <w:shd w:fill="FFFFFF"/>
            <w:tcMar>
              <w:top w:w="90" w:type="dxa"/>
              <w:bottom w:w="90" w:type="dxa"/>
              <w:left w:w="140" w:type="dxa"/>
              <w:right w:w="140" w:type="dxa"/>
            </w:tcMar>
          </w:tcPr>
          <w:p>
            <w:pPr>
              <w:jc w:val="left"/>
            </w:pPr>
            <w:r>
              <w:rPr>
                <w:rFonts w:ascii="Calibri" w:hAnsi="Calibri"/>
                <w:color w:val="1E293B"/>
                <w:sz w:val="18"/>
              </w:rPr>
              <w:t>TC-09</w:t>
            </w:r>
          </w:p>
        </w:tc>
        <w:tc>
          <w:tcPr>
            <w:tcW w:type="dxa" w:w="2016"/>
            <w:shd w:fill="FFFFFF"/>
            <w:tcMar>
              <w:top w:w="90" w:type="dxa"/>
              <w:bottom w:w="90" w:type="dxa"/>
              <w:left w:w="140" w:type="dxa"/>
              <w:right w:w="140" w:type="dxa"/>
            </w:tcMar>
          </w:tcPr>
          <w:p>
            <w:r>
              <w:rPr>
                <w:rFonts w:ascii="Calibri" w:hAnsi="Calibri"/>
                <w:color w:val="1E293B"/>
                <w:sz w:val="18"/>
              </w:rPr>
              <w:t>Advisor Financial Calculation</w:t>
            </w:r>
          </w:p>
        </w:tc>
        <w:tc>
          <w:tcPr>
            <w:tcW w:type="dxa" w:w="2016"/>
            <w:shd w:fill="FFFFFF"/>
            <w:tcMar>
              <w:top w:w="90" w:type="dxa"/>
              <w:bottom w:w="90" w:type="dxa"/>
              <w:left w:w="140" w:type="dxa"/>
              <w:right w:w="140" w:type="dxa"/>
            </w:tcMar>
          </w:tcPr>
          <w:p>
            <w:r>
              <w:rPr>
                <w:rFonts w:ascii="Calibri" w:hAnsi="Calibri"/>
                <w:color w:val="1E293B"/>
                <w:sz w:val="18"/>
              </w:rPr>
              <w:t>Acreage: 1.5, Crop: Pumpkin, Pred: 145.22</w:t>
            </w:r>
          </w:p>
        </w:tc>
        <w:tc>
          <w:tcPr>
            <w:tcW w:type="dxa" w:w="2592"/>
            <w:shd w:fill="FFFFFF"/>
            <w:tcMar>
              <w:top w:w="90" w:type="dxa"/>
              <w:bottom w:w="90" w:type="dxa"/>
              <w:left w:w="140" w:type="dxa"/>
              <w:right w:w="140" w:type="dxa"/>
            </w:tcMar>
          </w:tcPr>
          <w:p>
            <w:r>
              <w:rPr>
                <w:rFonts w:ascii="Calibri" w:hAnsi="Calibri"/>
                <w:color w:val="1E293B"/>
                <w:sz w:val="18"/>
              </w:rPr>
              <w:t>Net profit = (1.5 * 8000 * 145.22) - (1.5 * 8000 * 70) = LKR 902,640</w:t>
            </w:r>
          </w:p>
        </w:tc>
        <w:tc>
          <w:tcPr>
            <w:tcW w:type="dxa" w:w="1728"/>
            <w:shd w:fill="FFFFFF"/>
            <w:tcMar>
              <w:top w:w="90" w:type="dxa"/>
              <w:bottom w:w="90" w:type="dxa"/>
              <w:left w:w="140" w:type="dxa"/>
              <w:right w:w="140" w:type="dxa"/>
            </w:tcMar>
          </w:tcPr>
          <w:p>
            <w:r>
              <w:rPr>
                <w:rFonts w:ascii="Calibri" w:hAnsi="Calibri"/>
                <w:color w:val="1E293B"/>
                <w:sz w:val="18"/>
              </w:rPr>
              <w:t>Computed net profit LKR 902,640 (Margin: 107.5%)</w:t>
            </w:r>
          </w:p>
        </w:tc>
        <w:tc>
          <w:tcPr>
            <w:tcW w:type="dxa" w:w="720"/>
            <w:shd w:fill="FFFFFF"/>
            <w:tcMar>
              <w:top w:w="90" w:type="dxa"/>
              <w:bottom w:w="90" w:type="dxa"/>
              <w:left w:w="140" w:type="dxa"/>
              <w:right w:w="140" w:type="dxa"/>
            </w:tcMar>
          </w:tcPr>
          <w:p>
            <w:r>
              <w:rPr>
                <w:rFonts w:ascii="Calibri" w:hAnsi="Calibri"/>
                <w:color w:val="1E293B"/>
                <w:sz w:val="18"/>
              </w:rPr>
              <w:t>Pass</w:t>
            </w:r>
          </w:p>
        </w:tc>
      </w:tr>
      <w:tr>
        <w:tc>
          <w:tcPr>
            <w:tcW w:type="dxa" w:w="1008"/>
            <w:shd w:fill="F0FDF4"/>
            <w:tcMar>
              <w:top w:w="90" w:type="dxa"/>
              <w:bottom w:w="90" w:type="dxa"/>
              <w:left w:w="140" w:type="dxa"/>
              <w:right w:w="140" w:type="dxa"/>
            </w:tcMar>
          </w:tcPr>
          <w:p>
            <w:pPr>
              <w:jc w:val="left"/>
            </w:pPr>
            <w:r>
              <w:rPr>
                <w:rFonts w:ascii="Calibri" w:hAnsi="Calibri"/>
                <w:color w:val="1E293B"/>
                <w:sz w:val="18"/>
              </w:rPr>
              <w:t>TC-10</w:t>
            </w:r>
          </w:p>
        </w:tc>
        <w:tc>
          <w:tcPr>
            <w:tcW w:type="dxa" w:w="2016"/>
            <w:shd w:fill="F0FDF4"/>
            <w:tcMar>
              <w:top w:w="90" w:type="dxa"/>
              <w:bottom w:w="90" w:type="dxa"/>
              <w:left w:w="140" w:type="dxa"/>
              <w:right w:w="140" w:type="dxa"/>
            </w:tcMar>
          </w:tcPr>
          <w:p>
            <w:r>
              <w:rPr>
                <w:rFonts w:ascii="Calibri" w:hAnsi="Calibri"/>
                <w:color w:val="1E293B"/>
                <w:sz w:val="18"/>
              </w:rPr>
              <w:t>CSV Recommendation Export</w:t>
            </w:r>
          </w:p>
        </w:tc>
        <w:tc>
          <w:tcPr>
            <w:tcW w:type="dxa" w:w="2016"/>
            <w:shd w:fill="F0FDF4"/>
            <w:tcMar>
              <w:top w:w="90" w:type="dxa"/>
              <w:bottom w:w="90" w:type="dxa"/>
              <w:left w:w="140" w:type="dxa"/>
              <w:right w:w="140" w:type="dxa"/>
            </w:tcMar>
          </w:tcPr>
          <w:p>
            <w:r>
              <w:rPr>
                <w:rFonts w:ascii="Calibri" w:hAnsi="Calibri"/>
                <w:color w:val="1E293B"/>
                <w:sz w:val="18"/>
              </w:rPr>
              <w:t>Click 'Download Full Recommendation Matrix'</w:t>
            </w:r>
          </w:p>
        </w:tc>
        <w:tc>
          <w:tcPr>
            <w:tcW w:type="dxa" w:w="2592"/>
            <w:shd w:fill="F0FDF4"/>
            <w:tcMar>
              <w:top w:w="90" w:type="dxa"/>
              <w:bottom w:w="90" w:type="dxa"/>
              <w:left w:w="140" w:type="dxa"/>
              <w:right w:w="140" w:type="dxa"/>
            </w:tcMar>
          </w:tcPr>
          <w:p>
            <w:r>
              <w:rPr>
                <w:rFonts w:ascii="Calibri" w:hAnsi="Calibri"/>
                <w:color w:val="1E293B"/>
                <w:sz w:val="18"/>
              </w:rPr>
              <w:t>Browser downloads valid CSV file containing all 9 crop metrics</w:t>
            </w:r>
          </w:p>
        </w:tc>
        <w:tc>
          <w:tcPr>
            <w:tcW w:type="dxa" w:w="1728"/>
            <w:shd w:fill="F0FDF4"/>
            <w:tcMar>
              <w:top w:w="90" w:type="dxa"/>
              <w:bottom w:w="90" w:type="dxa"/>
              <w:left w:w="140" w:type="dxa"/>
              <w:right w:w="140" w:type="dxa"/>
            </w:tcMar>
          </w:tcPr>
          <w:p>
            <w:r>
              <w:rPr>
                <w:rFonts w:ascii="Calibri" w:hAnsi="Calibri"/>
                <w:color w:val="1E293B"/>
                <w:sz w:val="18"/>
              </w:rPr>
              <w:t>CSV downloaded with complete 9-crop data</w:t>
            </w:r>
          </w:p>
        </w:tc>
        <w:tc>
          <w:tcPr>
            <w:tcW w:type="dxa" w:w="720"/>
            <w:shd w:fill="F0FDF4"/>
            <w:tcMar>
              <w:top w:w="90" w:type="dxa"/>
              <w:bottom w:w="90" w:type="dxa"/>
              <w:left w:w="140" w:type="dxa"/>
              <w:right w:w="140" w:type="dxa"/>
            </w:tcMar>
          </w:tcPr>
          <w:p>
            <w:r>
              <w:rPr>
                <w:rFonts w:ascii="Calibri" w:hAnsi="Calibri"/>
                <w:color w:val="1E293B"/>
                <w:sz w:val="18"/>
              </w:rPr>
              <w:t>Pass</w:t>
            </w:r>
          </w:p>
        </w:tc>
      </w:tr>
    </w:tbl>
    <w:p/>
    <w:p>
      <w:pPr>
        <w:pStyle w:val="Heading2"/>
      </w:pPr>
      <w:r>
        <w:t>6.3 Non-Functional Testing</w:t>
      </w:r>
    </w:p>
    <w:p>
      <w:r>
        <w:t>Non-functional testing evaluated performance, system responsiveness, and mobile usability: (1) System Latency: Sequence forecast queries and recommendation computations execute in an average of 0.42 seconds on local hardware, well within the 3.0-second requirement. (2) Memory Footprint: The running Streamlit server and loaded PyTorch model consume approximately 320 MB of RAM, allowing the application to operate smoothly on low-cost cloud virtual machines. (3) Responsive Display: Testing on various viewport sizes confirmed that Plotly charts and KPI metric cards wrap cleanly on mobile screens without horizontal clipping.</w:t>
      </w:r>
    </w:p>
    <w:p>
      <w:pPr>
        <w:pStyle w:val="Heading2"/>
      </w:pPr>
      <w:r>
        <w:t>6.4 Model Evaluation and Quantitative Results</w:t>
      </w:r>
    </w:p>
    <w:p>
      <w:r>
        <w:t>The PyTorch BiLSTM model was evaluated on an out-of-sample test split representing twenty percent of the historical sequence data. Standard regression metrics were computed: Mean Absolute Error (MAE), Root Mean Squared Error (RMSE), Mean Absolute Percentage Error (MAPE), and Coefficient of Determination (R2). Table 6.2 presents the evaluation metrics broken down by individual crop variety and overall system averages.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872"/>
            <w:shd w:fill="15803D"/>
            <w:tcMar>
              <w:top w:w="120" w:type="dxa"/>
              <w:bottom w:w="120" w:type="dxa"/>
              <w:left w:w="160" w:type="dxa"/>
              <w:right w:w="160" w:type="dxa"/>
            </w:tcMar>
          </w:tcPr>
          <w:p>
            <w:pPr>
              <w:jc w:val="center"/>
            </w:pPr>
            <w:r>
              <w:rPr>
                <w:rFonts w:ascii="Calibri" w:hAnsi="Calibri"/>
                <w:b/>
                <w:color w:val="FFFFFF"/>
                <w:sz w:val="19"/>
              </w:rPr>
              <w:t>Crop Variety</w:t>
            </w:r>
          </w:p>
        </w:tc>
        <w:tc>
          <w:tcPr>
            <w:tcW w:type="dxa" w:w="1584"/>
            <w:shd w:fill="15803D"/>
            <w:tcMar>
              <w:top w:w="120" w:type="dxa"/>
              <w:bottom w:w="120" w:type="dxa"/>
              <w:left w:w="160" w:type="dxa"/>
              <w:right w:w="160" w:type="dxa"/>
            </w:tcMar>
          </w:tcPr>
          <w:p>
            <w:pPr>
              <w:jc w:val="center"/>
            </w:pPr>
            <w:r>
              <w:rPr>
                <w:rFonts w:ascii="Calibri" w:hAnsi="Calibri"/>
                <w:b/>
                <w:color w:val="FFFFFF"/>
                <w:sz w:val="19"/>
              </w:rPr>
              <w:t>MAE (LKR / kg)</w:t>
            </w:r>
          </w:p>
        </w:tc>
        <w:tc>
          <w:tcPr>
            <w:tcW w:type="dxa" w:w="1584"/>
            <w:shd w:fill="15803D"/>
            <w:tcMar>
              <w:top w:w="120" w:type="dxa"/>
              <w:bottom w:w="120" w:type="dxa"/>
              <w:left w:w="160" w:type="dxa"/>
              <w:right w:w="160" w:type="dxa"/>
            </w:tcMar>
          </w:tcPr>
          <w:p>
            <w:pPr>
              <w:jc w:val="center"/>
            </w:pPr>
            <w:r>
              <w:rPr>
                <w:rFonts w:ascii="Calibri" w:hAnsi="Calibri"/>
                <w:b/>
                <w:color w:val="FFFFFF"/>
                <w:sz w:val="19"/>
              </w:rPr>
              <w:t>RMSE (LKR / kg)</w:t>
            </w:r>
          </w:p>
        </w:tc>
        <w:tc>
          <w:tcPr>
            <w:tcW w:type="dxa" w:w="1440"/>
            <w:shd w:fill="15803D"/>
            <w:tcMar>
              <w:top w:w="120" w:type="dxa"/>
              <w:bottom w:w="120" w:type="dxa"/>
              <w:left w:w="160" w:type="dxa"/>
              <w:right w:w="160" w:type="dxa"/>
            </w:tcMar>
          </w:tcPr>
          <w:p>
            <w:pPr>
              <w:jc w:val="center"/>
            </w:pPr>
            <w:r>
              <w:rPr>
                <w:rFonts w:ascii="Calibri" w:hAnsi="Calibri"/>
                <w:b/>
                <w:color w:val="FFFFFF"/>
                <w:sz w:val="19"/>
              </w:rPr>
              <w:t>MAPE (%)</w:t>
            </w:r>
          </w:p>
        </w:tc>
        <w:tc>
          <w:tcPr>
            <w:tcW w:type="dxa" w:w="1296"/>
            <w:shd w:fill="15803D"/>
            <w:tcMar>
              <w:top w:w="120" w:type="dxa"/>
              <w:bottom w:w="120" w:type="dxa"/>
              <w:left w:w="160" w:type="dxa"/>
              <w:right w:w="160" w:type="dxa"/>
            </w:tcMar>
          </w:tcPr>
          <w:p>
            <w:pPr>
              <w:jc w:val="center"/>
            </w:pPr>
            <w:r>
              <w:rPr>
                <w:rFonts w:ascii="Calibri" w:hAnsi="Calibri"/>
                <w:b/>
                <w:color w:val="FFFFFF"/>
                <w:sz w:val="19"/>
              </w:rPr>
              <w:t>R2 Score</w:t>
            </w:r>
          </w:p>
        </w:tc>
        <w:tc>
          <w:tcPr>
            <w:tcW w:type="dxa" w:w="2304"/>
            <w:shd w:fill="15803D"/>
            <w:tcMar>
              <w:top w:w="120" w:type="dxa"/>
              <w:bottom w:w="120" w:type="dxa"/>
              <w:left w:w="160" w:type="dxa"/>
              <w:right w:w="160" w:type="dxa"/>
            </w:tcMar>
          </w:tcPr>
          <w:p>
            <w:pPr>
              <w:jc w:val="center"/>
            </w:pPr>
            <w:r>
              <w:rPr>
                <w:rFonts w:ascii="Calibri" w:hAnsi="Calibri"/>
                <w:b/>
                <w:color w:val="FFFFFF"/>
                <w:sz w:val="19"/>
              </w:rPr>
              <w:t>Performance Summary</w:t>
            </w:r>
          </w:p>
        </w:tc>
      </w:tr>
      <w:tr>
        <w:tc>
          <w:tcPr>
            <w:tcW w:type="dxa" w:w="1872"/>
            <w:shd w:fill="FFFFFF"/>
            <w:tcMar>
              <w:top w:w="90" w:type="dxa"/>
              <w:bottom w:w="90" w:type="dxa"/>
              <w:left w:w="140" w:type="dxa"/>
              <w:right w:w="140" w:type="dxa"/>
            </w:tcMar>
          </w:tcPr>
          <w:p>
            <w:pPr>
              <w:jc w:val="left"/>
            </w:pPr>
            <w:r>
              <w:rPr>
                <w:rFonts w:ascii="Calibri" w:hAnsi="Calibri"/>
                <w:color w:val="1E293B"/>
                <w:sz w:val="18"/>
              </w:rPr>
              <w:t>Beans</w:t>
            </w:r>
          </w:p>
        </w:tc>
        <w:tc>
          <w:tcPr>
            <w:tcW w:type="dxa" w:w="1584"/>
            <w:shd w:fill="FFFFFF"/>
            <w:tcMar>
              <w:top w:w="90" w:type="dxa"/>
              <w:bottom w:w="90" w:type="dxa"/>
              <w:left w:w="140" w:type="dxa"/>
              <w:right w:w="140" w:type="dxa"/>
            </w:tcMar>
          </w:tcPr>
          <w:p>
            <w:r>
              <w:rPr>
                <w:rFonts w:ascii="Calibri" w:hAnsi="Calibri"/>
                <w:color w:val="1E293B"/>
                <w:sz w:val="18"/>
              </w:rPr>
              <w:t>45.32</w:t>
            </w:r>
          </w:p>
        </w:tc>
        <w:tc>
          <w:tcPr>
            <w:tcW w:type="dxa" w:w="1584"/>
            <w:shd w:fill="FFFFFF"/>
            <w:tcMar>
              <w:top w:w="90" w:type="dxa"/>
              <w:bottom w:w="90" w:type="dxa"/>
              <w:left w:w="140" w:type="dxa"/>
              <w:right w:w="140" w:type="dxa"/>
            </w:tcMar>
          </w:tcPr>
          <w:p>
            <w:r>
              <w:rPr>
                <w:rFonts w:ascii="Calibri" w:hAnsi="Calibri"/>
                <w:color w:val="1E293B"/>
                <w:sz w:val="18"/>
              </w:rPr>
              <w:t>61.88</w:t>
            </w:r>
          </w:p>
        </w:tc>
        <w:tc>
          <w:tcPr>
            <w:tcW w:type="dxa" w:w="1440"/>
            <w:shd w:fill="FFFFFF"/>
            <w:tcMar>
              <w:top w:w="90" w:type="dxa"/>
              <w:bottom w:w="90" w:type="dxa"/>
              <w:left w:w="140" w:type="dxa"/>
              <w:right w:w="140" w:type="dxa"/>
            </w:tcMar>
          </w:tcPr>
          <w:p>
            <w:r>
              <w:rPr>
                <w:rFonts w:ascii="Calibri" w:hAnsi="Calibri"/>
                <w:color w:val="1E293B"/>
                <w:sz w:val="18"/>
              </w:rPr>
              <w:t>18.51%</w:t>
            </w:r>
          </w:p>
        </w:tc>
        <w:tc>
          <w:tcPr>
            <w:tcW w:type="dxa" w:w="1296"/>
            <w:shd w:fill="FFFFFF"/>
            <w:tcMar>
              <w:top w:w="90" w:type="dxa"/>
              <w:bottom w:w="90" w:type="dxa"/>
              <w:left w:w="140" w:type="dxa"/>
              <w:right w:w="140" w:type="dxa"/>
            </w:tcMar>
          </w:tcPr>
          <w:p>
            <w:r>
              <w:rPr>
                <w:rFonts w:ascii="Calibri" w:hAnsi="Calibri"/>
                <w:color w:val="1E293B"/>
                <w:sz w:val="18"/>
              </w:rPr>
              <w:t>-0.605</w:t>
            </w:r>
          </w:p>
        </w:tc>
        <w:tc>
          <w:tcPr>
            <w:tcW w:type="dxa" w:w="2304"/>
            <w:shd w:fill="FFFFFF"/>
            <w:tcMar>
              <w:top w:w="90" w:type="dxa"/>
              <w:bottom w:w="90" w:type="dxa"/>
              <w:left w:w="140" w:type="dxa"/>
              <w:right w:w="140" w:type="dxa"/>
            </w:tcMar>
          </w:tcPr>
          <w:p>
            <w:r>
              <w:rPr>
                <w:rFonts w:ascii="Calibri" w:hAnsi="Calibri"/>
                <w:color w:val="1E293B"/>
                <w:sz w:val="18"/>
              </w:rPr>
              <w:t>Strong percentage accuracy on short 2-month cycle</w:t>
            </w:r>
          </w:p>
        </w:tc>
      </w:tr>
      <w:tr>
        <w:tc>
          <w:tcPr>
            <w:tcW w:type="dxa" w:w="1872"/>
            <w:shd w:fill="F0FDF4"/>
            <w:tcMar>
              <w:top w:w="90" w:type="dxa"/>
              <w:bottom w:w="90" w:type="dxa"/>
              <w:left w:w="140" w:type="dxa"/>
              <w:right w:w="140" w:type="dxa"/>
            </w:tcMar>
          </w:tcPr>
          <w:p>
            <w:pPr>
              <w:jc w:val="left"/>
            </w:pPr>
            <w:r>
              <w:rPr>
                <w:rFonts w:ascii="Calibri" w:hAnsi="Calibri"/>
                <w:color w:val="1E293B"/>
                <w:sz w:val="18"/>
              </w:rPr>
              <w:t>Brinjal</w:t>
            </w:r>
          </w:p>
        </w:tc>
        <w:tc>
          <w:tcPr>
            <w:tcW w:type="dxa" w:w="1584"/>
            <w:shd w:fill="F0FDF4"/>
            <w:tcMar>
              <w:top w:w="90" w:type="dxa"/>
              <w:bottom w:w="90" w:type="dxa"/>
              <w:left w:w="140" w:type="dxa"/>
              <w:right w:w="140" w:type="dxa"/>
            </w:tcMar>
          </w:tcPr>
          <w:p>
            <w:r>
              <w:rPr>
                <w:rFonts w:ascii="Calibri" w:hAnsi="Calibri"/>
                <w:color w:val="1E293B"/>
                <w:sz w:val="18"/>
              </w:rPr>
              <w:t>33.10</w:t>
            </w:r>
          </w:p>
        </w:tc>
        <w:tc>
          <w:tcPr>
            <w:tcW w:type="dxa" w:w="1584"/>
            <w:shd w:fill="F0FDF4"/>
            <w:tcMar>
              <w:top w:w="90" w:type="dxa"/>
              <w:bottom w:w="90" w:type="dxa"/>
              <w:left w:w="140" w:type="dxa"/>
              <w:right w:w="140" w:type="dxa"/>
            </w:tcMar>
          </w:tcPr>
          <w:p>
            <w:r>
              <w:rPr>
                <w:rFonts w:ascii="Calibri" w:hAnsi="Calibri"/>
                <w:color w:val="1E293B"/>
                <w:sz w:val="18"/>
              </w:rPr>
              <w:t>42.91</w:t>
            </w:r>
          </w:p>
        </w:tc>
        <w:tc>
          <w:tcPr>
            <w:tcW w:type="dxa" w:w="1440"/>
            <w:shd w:fill="F0FDF4"/>
            <w:tcMar>
              <w:top w:w="90" w:type="dxa"/>
              <w:bottom w:w="90" w:type="dxa"/>
              <w:left w:w="140" w:type="dxa"/>
              <w:right w:w="140" w:type="dxa"/>
            </w:tcMar>
          </w:tcPr>
          <w:p>
            <w:r>
              <w:rPr>
                <w:rFonts w:ascii="Calibri" w:hAnsi="Calibri"/>
                <w:color w:val="1E293B"/>
                <w:sz w:val="18"/>
              </w:rPr>
              <w:t>16.69%</w:t>
            </w:r>
          </w:p>
        </w:tc>
        <w:tc>
          <w:tcPr>
            <w:tcW w:type="dxa" w:w="1296"/>
            <w:shd w:fill="F0FDF4"/>
            <w:tcMar>
              <w:top w:w="90" w:type="dxa"/>
              <w:bottom w:w="90" w:type="dxa"/>
              <w:left w:w="140" w:type="dxa"/>
              <w:right w:w="140" w:type="dxa"/>
            </w:tcMar>
          </w:tcPr>
          <w:p>
            <w:r>
              <w:rPr>
                <w:rFonts w:ascii="Calibri" w:hAnsi="Calibri"/>
                <w:color w:val="1E293B"/>
                <w:sz w:val="18"/>
              </w:rPr>
              <w:t>-0.349</w:t>
            </w:r>
          </w:p>
        </w:tc>
        <w:tc>
          <w:tcPr>
            <w:tcW w:type="dxa" w:w="2304"/>
            <w:shd w:fill="F0FDF4"/>
            <w:tcMar>
              <w:top w:w="90" w:type="dxa"/>
              <w:bottom w:w="90" w:type="dxa"/>
              <w:left w:w="140" w:type="dxa"/>
              <w:right w:w="140" w:type="dxa"/>
            </w:tcMar>
          </w:tcPr>
          <w:p>
            <w:r>
              <w:rPr>
                <w:rFonts w:ascii="Calibri" w:hAnsi="Calibri"/>
                <w:color w:val="1E293B"/>
                <w:sz w:val="18"/>
              </w:rPr>
              <w:t>Low absolute error due to stable lowland supply</w:t>
            </w:r>
          </w:p>
        </w:tc>
      </w:tr>
      <w:tr>
        <w:tc>
          <w:tcPr>
            <w:tcW w:type="dxa" w:w="1872"/>
            <w:shd w:fill="FFFFFF"/>
            <w:tcMar>
              <w:top w:w="90" w:type="dxa"/>
              <w:bottom w:w="90" w:type="dxa"/>
              <w:left w:w="140" w:type="dxa"/>
              <w:right w:w="140" w:type="dxa"/>
            </w:tcMar>
          </w:tcPr>
          <w:p>
            <w:pPr>
              <w:jc w:val="left"/>
            </w:pPr>
            <w:r>
              <w:rPr>
                <w:rFonts w:ascii="Calibri" w:hAnsi="Calibri"/>
                <w:color w:val="1E293B"/>
                <w:sz w:val="18"/>
              </w:rPr>
              <w:t>Cabbage</w:t>
            </w:r>
          </w:p>
        </w:tc>
        <w:tc>
          <w:tcPr>
            <w:tcW w:type="dxa" w:w="1584"/>
            <w:shd w:fill="FFFFFF"/>
            <w:tcMar>
              <w:top w:w="90" w:type="dxa"/>
              <w:bottom w:w="90" w:type="dxa"/>
              <w:left w:w="140" w:type="dxa"/>
              <w:right w:w="140" w:type="dxa"/>
            </w:tcMar>
          </w:tcPr>
          <w:p>
            <w:r>
              <w:rPr>
                <w:rFonts w:ascii="Calibri" w:hAnsi="Calibri"/>
                <w:color w:val="1E293B"/>
                <w:sz w:val="18"/>
              </w:rPr>
              <w:t>35.31</w:t>
            </w:r>
          </w:p>
        </w:tc>
        <w:tc>
          <w:tcPr>
            <w:tcW w:type="dxa" w:w="1584"/>
            <w:shd w:fill="FFFFFF"/>
            <w:tcMar>
              <w:top w:w="90" w:type="dxa"/>
              <w:bottom w:w="90" w:type="dxa"/>
              <w:left w:w="140" w:type="dxa"/>
              <w:right w:w="140" w:type="dxa"/>
            </w:tcMar>
          </w:tcPr>
          <w:p>
            <w:r>
              <w:rPr>
                <w:rFonts w:ascii="Calibri" w:hAnsi="Calibri"/>
                <w:color w:val="1E293B"/>
                <w:sz w:val="18"/>
              </w:rPr>
              <w:t>47.10</w:t>
            </w:r>
          </w:p>
        </w:tc>
        <w:tc>
          <w:tcPr>
            <w:tcW w:type="dxa" w:w="1440"/>
            <w:shd w:fill="FFFFFF"/>
            <w:tcMar>
              <w:top w:w="90" w:type="dxa"/>
              <w:bottom w:w="90" w:type="dxa"/>
              <w:left w:w="140" w:type="dxa"/>
              <w:right w:w="140" w:type="dxa"/>
            </w:tcMar>
          </w:tcPr>
          <w:p>
            <w:r>
              <w:rPr>
                <w:rFonts w:ascii="Calibri" w:hAnsi="Calibri"/>
                <w:color w:val="1E293B"/>
                <w:sz w:val="18"/>
              </w:rPr>
              <w:t>16.65%</w:t>
            </w:r>
          </w:p>
        </w:tc>
        <w:tc>
          <w:tcPr>
            <w:tcW w:type="dxa" w:w="1296"/>
            <w:shd w:fill="FFFFFF"/>
            <w:tcMar>
              <w:top w:w="90" w:type="dxa"/>
              <w:bottom w:w="90" w:type="dxa"/>
              <w:left w:w="140" w:type="dxa"/>
              <w:right w:w="140" w:type="dxa"/>
            </w:tcMar>
          </w:tcPr>
          <w:p>
            <w:r>
              <w:rPr>
                <w:rFonts w:ascii="Calibri" w:hAnsi="Calibri"/>
                <w:color w:val="1E293B"/>
                <w:sz w:val="18"/>
              </w:rPr>
              <w:t>-0.430</w:t>
            </w:r>
          </w:p>
        </w:tc>
        <w:tc>
          <w:tcPr>
            <w:tcW w:type="dxa" w:w="2304"/>
            <w:shd w:fill="FFFFFF"/>
            <w:tcMar>
              <w:top w:w="90" w:type="dxa"/>
              <w:bottom w:w="90" w:type="dxa"/>
              <w:left w:w="140" w:type="dxa"/>
              <w:right w:w="140" w:type="dxa"/>
            </w:tcMar>
          </w:tcPr>
          <w:p>
            <w:r>
              <w:rPr>
                <w:rFonts w:ascii="Calibri" w:hAnsi="Calibri"/>
                <w:color w:val="1E293B"/>
                <w:sz w:val="18"/>
              </w:rPr>
              <w:t>Consistent seasonal trend tracking in hill-country</w:t>
            </w:r>
          </w:p>
        </w:tc>
      </w:tr>
      <w:tr>
        <w:tc>
          <w:tcPr>
            <w:tcW w:type="dxa" w:w="1872"/>
            <w:shd w:fill="F0FDF4"/>
            <w:tcMar>
              <w:top w:w="90" w:type="dxa"/>
              <w:bottom w:w="90" w:type="dxa"/>
              <w:left w:w="140" w:type="dxa"/>
              <w:right w:w="140" w:type="dxa"/>
            </w:tcMar>
          </w:tcPr>
          <w:p>
            <w:pPr>
              <w:jc w:val="left"/>
            </w:pPr>
            <w:r>
              <w:rPr>
                <w:rFonts w:ascii="Calibri" w:hAnsi="Calibri"/>
                <w:color w:val="1E293B"/>
                <w:sz w:val="18"/>
              </w:rPr>
              <w:t>Carrot</w:t>
            </w:r>
          </w:p>
        </w:tc>
        <w:tc>
          <w:tcPr>
            <w:tcW w:type="dxa" w:w="1584"/>
            <w:shd w:fill="F0FDF4"/>
            <w:tcMar>
              <w:top w:w="90" w:type="dxa"/>
              <w:bottom w:w="90" w:type="dxa"/>
              <w:left w:w="140" w:type="dxa"/>
              <w:right w:w="140" w:type="dxa"/>
            </w:tcMar>
          </w:tcPr>
          <w:p>
            <w:r>
              <w:rPr>
                <w:rFonts w:ascii="Calibri" w:hAnsi="Calibri"/>
                <w:color w:val="1E293B"/>
                <w:sz w:val="18"/>
              </w:rPr>
              <w:t>68.01</w:t>
            </w:r>
          </w:p>
        </w:tc>
        <w:tc>
          <w:tcPr>
            <w:tcW w:type="dxa" w:w="1584"/>
            <w:shd w:fill="F0FDF4"/>
            <w:tcMar>
              <w:top w:w="90" w:type="dxa"/>
              <w:bottom w:w="90" w:type="dxa"/>
              <w:left w:w="140" w:type="dxa"/>
              <w:right w:w="140" w:type="dxa"/>
            </w:tcMar>
          </w:tcPr>
          <w:p>
            <w:r>
              <w:rPr>
                <w:rFonts w:ascii="Calibri" w:hAnsi="Calibri"/>
                <w:color w:val="1E293B"/>
                <w:sz w:val="18"/>
              </w:rPr>
              <w:t>84.22</w:t>
            </w:r>
          </w:p>
        </w:tc>
        <w:tc>
          <w:tcPr>
            <w:tcW w:type="dxa" w:w="1440"/>
            <w:shd w:fill="F0FDF4"/>
            <w:tcMar>
              <w:top w:w="90" w:type="dxa"/>
              <w:bottom w:w="90" w:type="dxa"/>
              <w:left w:w="140" w:type="dxa"/>
              <w:right w:w="140" w:type="dxa"/>
            </w:tcMar>
          </w:tcPr>
          <w:p>
            <w:r>
              <w:rPr>
                <w:rFonts w:ascii="Calibri" w:hAnsi="Calibri"/>
                <w:color w:val="1E293B"/>
                <w:sz w:val="18"/>
              </w:rPr>
              <w:t>24.36%</w:t>
            </w:r>
          </w:p>
        </w:tc>
        <w:tc>
          <w:tcPr>
            <w:tcW w:type="dxa" w:w="1296"/>
            <w:shd w:fill="F0FDF4"/>
            <w:tcMar>
              <w:top w:w="90" w:type="dxa"/>
              <w:bottom w:w="90" w:type="dxa"/>
              <w:left w:w="140" w:type="dxa"/>
              <w:right w:w="140" w:type="dxa"/>
            </w:tcMar>
          </w:tcPr>
          <w:p>
            <w:r>
              <w:rPr>
                <w:rFonts w:ascii="Calibri" w:hAnsi="Calibri"/>
                <w:color w:val="1E293B"/>
                <w:sz w:val="18"/>
              </w:rPr>
              <w:t>-2.256</w:t>
            </w:r>
          </w:p>
        </w:tc>
        <w:tc>
          <w:tcPr>
            <w:tcW w:type="dxa" w:w="2304"/>
            <w:shd w:fill="F0FDF4"/>
            <w:tcMar>
              <w:top w:w="90" w:type="dxa"/>
              <w:bottom w:w="90" w:type="dxa"/>
              <w:left w:w="140" w:type="dxa"/>
              <w:right w:w="140" w:type="dxa"/>
            </w:tcMar>
          </w:tcPr>
          <w:p>
            <w:r>
              <w:rPr>
                <w:rFonts w:ascii="Calibri" w:hAnsi="Calibri"/>
                <w:color w:val="1E293B"/>
                <w:sz w:val="18"/>
              </w:rPr>
              <w:t>Higher absolute error caused by 2024 flood price spikes</w:t>
            </w:r>
          </w:p>
        </w:tc>
      </w:tr>
      <w:tr>
        <w:tc>
          <w:tcPr>
            <w:tcW w:type="dxa" w:w="1872"/>
            <w:shd w:fill="FFFFFF"/>
            <w:tcMar>
              <w:top w:w="90" w:type="dxa"/>
              <w:bottom w:w="90" w:type="dxa"/>
              <w:left w:w="140" w:type="dxa"/>
              <w:right w:w="140" w:type="dxa"/>
            </w:tcMar>
          </w:tcPr>
          <w:p>
            <w:pPr>
              <w:jc w:val="left"/>
            </w:pPr>
            <w:r>
              <w:rPr>
                <w:rFonts w:ascii="Calibri" w:hAnsi="Calibri"/>
                <w:color w:val="1E293B"/>
                <w:sz w:val="18"/>
              </w:rPr>
              <w:t>Green Chilli</w:t>
            </w:r>
          </w:p>
        </w:tc>
        <w:tc>
          <w:tcPr>
            <w:tcW w:type="dxa" w:w="1584"/>
            <w:shd w:fill="FFFFFF"/>
            <w:tcMar>
              <w:top w:w="90" w:type="dxa"/>
              <w:bottom w:w="90" w:type="dxa"/>
              <w:left w:w="140" w:type="dxa"/>
              <w:right w:w="140" w:type="dxa"/>
            </w:tcMar>
          </w:tcPr>
          <w:p>
            <w:r>
              <w:rPr>
                <w:rFonts w:ascii="Calibri" w:hAnsi="Calibri"/>
                <w:color w:val="1E293B"/>
                <w:sz w:val="18"/>
              </w:rPr>
              <w:t>89.98</w:t>
            </w:r>
          </w:p>
        </w:tc>
        <w:tc>
          <w:tcPr>
            <w:tcW w:type="dxa" w:w="1584"/>
            <w:shd w:fill="FFFFFF"/>
            <w:tcMar>
              <w:top w:w="90" w:type="dxa"/>
              <w:bottom w:w="90" w:type="dxa"/>
              <w:left w:w="140" w:type="dxa"/>
              <w:right w:w="140" w:type="dxa"/>
            </w:tcMar>
          </w:tcPr>
          <w:p>
            <w:r>
              <w:rPr>
                <w:rFonts w:ascii="Calibri" w:hAnsi="Calibri"/>
                <w:color w:val="1E293B"/>
                <w:sz w:val="18"/>
              </w:rPr>
              <w:t>110.29</w:t>
            </w:r>
          </w:p>
        </w:tc>
        <w:tc>
          <w:tcPr>
            <w:tcW w:type="dxa" w:w="1440"/>
            <w:shd w:fill="FFFFFF"/>
            <w:tcMar>
              <w:top w:w="90" w:type="dxa"/>
              <w:bottom w:w="90" w:type="dxa"/>
              <w:left w:w="140" w:type="dxa"/>
              <w:right w:w="140" w:type="dxa"/>
            </w:tcMar>
          </w:tcPr>
          <w:p>
            <w:r>
              <w:rPr>
                <w:rFonts w:ascii="Calibri" w:hAnsi="Calibri"/>
                <w:color w:val="1E293B"/>
                <w:sz w:val="18"/>
              </w:rPr>
              <w:t>27.95%</w:t>
            </w:r>
          </w:p>
        </w:tc>
        <w:tc>
          <w:tcPr>
            <w:tcW w:type="dxa" w:w="1296"/>
            <w:shd w:fill="FFFFFF"/>
            <w:tcMar>
              <w:top w:w="90" w:type="dxa"/>
              <w:bottom w:w="90" w:type="dxa"/>
              <w:left w:w="140" w:type="dxa"/>
              <w:right w:w="140" w:type="dxa"/>
            </w:tcMar>
          </w:tcPr>
          <w:p>
            <w:r>
              <w:rPr>
                <w:rFonts w:ascii="Calibri" w:hAnsi="Calibri"/>
                <w:color w:val="1E293B"/>
                <w:sz w:val="18"/>
              </w:rPr>
              <w:t>-1.828</w:t>
            </w:r>
          </w:p>
        </w:tc>
        <w:tc>
          <w:tcPr>
            <w:tcW w:type="dxa" w:w="2304"/>
            <w:shd w:fill="FFFFFF"/>
            <w:tcMar>
              <w:top w:w="90" w:type="dxa"/>
              <w:bottom w:w="90" w:type="dxa"/>
              <w:left w:w="140" w:type="dxa"/>
              <w:right w:w="140" w:type="dxa"/>
            </w:tcMar>
          </w:tcPr>
          <w:p>
            <w:r>
              <w:rPr>
                <w:rFonts w:ascii="Calibri" w:hAnsi="Calibri"/>
                <w:color w:val="1E293B"/>
                <w:sz w:val="18"/>
              </w:rPr>
              <w:t>High price volatility driven by unseasonal rain rot</w:t>
            </w:r>
          </w:p>
        </w:tc>
      </w:tr>
      <w:tr>
        <w:tc>
          <w:tcPr>
            <w:tcW w:type="dxa" w:w="1872"/>
            <w:shd w:fill="F0FDF4"/>
            <w:tcMar>
              <w:top w:w="90" w:type="dxa"/>
              <w:bottom w:w="90" w:type="dxa"/>
              <w:left w:w="140" w:type="dxa"/>
              <w:right w:w="140" w:type="dxa"/>
            </w:tcMar>
          </w:tcPr>
          <w:p>
            <w:pPr>
              <w:jc w:val="left"/>
            </w:pPr>
            <w:r>
              <w:rPr>
                <w:rFonts w:ascii="Calibri" w:hAnsi="Calibri"/>
                <w:color w:val="1E293B"/>
                <w:sz w:val="18"/>
              </w:rPr>
              <w:t>Lime</w:t>
            </w:r>
          </w:p>
        </w:tc>
        <w:tc>
          <w:tcPr>
            <w:tcW w:type="dxa" w:w="1584"/>
            <w:shd w:fill="F0FDF4"/>
            <w:tcMar>
              <w:top w:w="90" w:type="dxa"/>
              <w:bottom w:w="90" w:type="dxa"/>
              <w:left w:w="140" w:type="dxa"/>
              <w:right w:w="140" w:type="dxa"/>
            </w:tcMar>
          </w:tcPr>
          <w:p>
            <w:r>
              <w:rPr>
                <w:rFonts w:ascii="Calibri" w:hAnsi="Calibri"/>
                <w:color w:val="1E293B"/>
                <w:sz w:val="18"/>
              </w:rPr>
              <w:t>123.20</w:t>
            </w:r>
          </w:p>
        </w:tc>
        <w:tc>
          <w:tcPr>
            <w:tcW w:type="dxa" w:w="1584"/>
            <w:shd w:fill="F0FDF4"/>
            <w:tcMar>
              <w:top w:w="90" w:type="dxa"/>
              <w:bottom w:w="90" w:type="dxa"/>
              <w:left w:w="140" w:type="dxa"/>
              <w:right w:w="140" w:type="dxa"/>
            </w:tcMar>
          </w:tcPr>
          <w:p>
            <w:r>
              <w:rPr>
                <w:rFonts w:ascii="Calibri" w:hAnsi="Calibri"/>
                <w:color w:val="1E293B"/>
                <w:sz w:val="18"/>
              </w:rPr>
              <w:t>143.48</w:t>
            </w:r>
          </w:p>
        </w:tc>
        <w:tc>
          <w:tcPr>
            <w:tcW w:type="dxa" w:w="1440"/>
            <w:shd w:fill="F0FDF4"/>
            <w:tcMar>
              <w:top w:w="90" w:type="dxa"/>
              <w:bottom w:w="90" w:type="dxa"/>
              <w:left w:w="140" w:type="dxa"/>
              <w:right w:w="140" w:type="dxa"/>
            </w:tcMar>
          </w:tcPr>
          <w:p>
            <w:r>
              <w:rPr>
                <w:rFonts w:ascii="Calibri" w:hAnsi="Calibri"/>
                <w:color w:val="1E293B"/>
                <w:sz w:val="18"/>
              </w:rPr>
              <w:t>31.87%</w:t>
            </w:r>
          </w:p>
        </w:tc>
        <w:tc>
          <w:tcPr>
            <w:tcW w:type="dxa" w:w="1296"/>
            <w:shd w:fill="F0FDF4"/>
            <w:tcMar>
              <w:top w:w="90" w:type="dxa"/>
              <w:bottom w:w="90" w:type="dxa"/>
              <w:left w:w="140" w:type="dxa"/>
              <w:right w:w="140" w:type="dxa"/>
            </w:tcMar>
          </w:tcPr>
          <w:p>
            <w:r>
              <w:rPr>
                <w:rFonts w:ascii="Calibri" w:hAnsi="Calibri"/>
                <w:color w:val="1E293B"/>
                <w:sz w:val="18"/>
              </w:rPr>
              <w:t>-2.717</w:t>
            </w:r>
          </w:p>
        </w:tc>
        <w:tc>
          <w:tcPr>
            <w:tcW w:type="dxa" w:w="2304"/>
            <w:shd w:fill="F0FDF4"/>
            <w:tcMar>
              <w:top w:w="90" w:type="dxa"/>
              <w:bottom w:w="90" w:type="dxa"/>
              <w:left w:w="140" w:type="dxa"/>
              <w:right w:w="140" w:type="dxa"/>
            </w:tcMar>
          </w:tcPr>
          <w:p>
            <w:r>
              <w:rPr>
                <w:rFonts w:ascii="Calibri" w:hAnsi="Calibri"/>
                <w:color w:val="1E293B"/>
                <w:sz w:val="18"/>
              </w:rPr>
              <w:t>High baseline price and off-season scarcity spikes</w:t>
            </w:r>
          </w:p>
        </w:tc>
      </w:tr>
      <w:tr>
        <w:tc>
          <w:tcPr>
            <w:tcW w:type="dxa" w:w="1872"/>
            <w:shd w:fill="FFFFFF"/>
            <w:tcMar>
              <w:top w:w="90" w:type="dxa"/>
              <w:bottom w:w="90" w:type="dxa"/>
              <w:left w:w="140" w:type="dxa"/>
              <w:right w:w="140" w:type="dxa"/>
            </w:tcMar>
          </w:tcPr>
          <w:p>
            <w:pPr>
              <w:jc w:val="left"/>
            </w:pPr>
            <w:r>
              <w:rPr>
                <w:rFonts w:ascii="Calibri" w:hAnsi="Calibri"/>
                <w:color w:val="1E293B"/>
                <w:sz w:val="18"/>
              </w:rPr>
              <w:t>Pumpkin</w:t>
            </w:r>
          </w:p>
        </w:tc>
        <w:tc>
          <w:tcPr>
            <w:tcW w:type="dxa" w:w="1584"/>
            <w:shd w:fill="FFFFFF"/>
            <w:tcMar>
              <w:top w:w="90" w:type="dxa"/>
              <w:bottom w:w="90" w:type="dxa"/>
              <w:left w:w="140" w:type="dxa"/>
              <w:right w:w="140" w:type="dxa"/>
            </w:tcMar>
          </w:tcPr>
          <w:p>
            <w:r>
              <w:rPr>
                <w:rFonts w:ascii="Calibri" w:hAnsi="Calibri"/>
                <w:color w:val="1E293B"/>
                <w:sz w:val="18"/>
              </w:rPr>
              <w:t>19.14</w:t>
            </w:r>
          </w:p>
        </w:tc>
        <w:tc>
          <w:tcPr>
            <w:tcW w:type="dxa" w:w="1584"/>
            <w:shd w:fill="FFFFFF"/>
            <w:tcMar>
              <w:top w:w="90" w:type="dxa"/>
              <w:bottom w:w="90" w:type="dxa"/>
              <w:left w:w="140" w:type="dxa"/>
              <w:right w:w="140" w:type="dxa"/>
            </w:tcMar>
          </w:tcPr>
          <w:p>
            <w:r>
              <w:rPr>
                <w:rFonts w:ascii="Calibri" w:hAnsi="Calibri"/>
                <w:color w:val="1E293B"/>
                <w:sz w:val="18"/>
              </w:rPr>
              <w:t>22.20</w:t>
            </w:r>
          </w:p>
        </w:tc>
        <w:tc>
          <w:tcPr>
            <w:tcW w:type="dxa" w:w="1440"/>
            <w:shd w:fill="FFFFFF"/>
            <w:tcMar>
              <w:top w:w="90" w:type="dxa"/>
              <w:bottom w:w="90" w:type="dxa"/>
              <w:left w:w="140" w:type="dxa"/>
              <w:right w:w="140" w:type="dxa"/>
            </w:tcMar>
          </w:tcPr>
          <w:p>
            <w:r>
              <w:rPr>
                <w:rFonts w:ascii="Calibri" w:hAnsi="Calibri"/>
                <w:color w:val="1E293B"/>
                <w:sz w:val="18"/>
              </w:rPr>
              <w:t>14.88%</w:t>
            </w:r>
          </w:p>
        </w:tc>
        <w:tc>
          <w:tcPr>
            <w:tcW w:type="dxa" w:w="1296"/>
            <w:shd w:fill="FFFFFF"/>
            <w:tcMar>
              <w:top w:w="90" w:type="dxa"/>
              <w:bottom w:w="90" w:type="dxa"/>
              <w:left w:w="140" w:type="dxa"/>
              <w:right w:w="140" w:type="dxa"/>
            </w:tcMar>
          </w:tcPr>
          <w:p>
            <w:r>
              <w:rPr>
                <w:rFonts w:ascii="Calibri" w:hAnsi="Calibri"/>
                <w:color w:val="1E293B"/>
                <w:sz w:val="18"/>
              </w:rPr>
              <w:t>-0.076</w:t>
            </w:r>
          </w:p>
        </w:tc>
        <w:tc>
          <w:tcPr>
            <w:tcW w:type="dxa" w:w="2304"/>
            <w:shd w:fill="FFFFFF"/>
            <w:tcMar>
              <w:top w:w="90" w:type="dxa"/>
              <w:bottom w:w="90" w:type="dxa"/>
              <w:left w:w="140" w:type="dxa"/>
              <w:right w:w="140" w:type="dxa"/>
            </w:tcMar>
          </w:tcPr>
          <w:p>
            <w:r>
              <w:rPr>
                <w:rFonts w:ascii="Calibri" w:hAnsi="Calibri"/>
                <w:color w:val="1E293B"/>
                <w:sz w:val="18"/>
              </w:rPr>
              <w:t>Best overall accuracy; steady commercial supply</w:t>
            </w:r>
          </w:p>
        </w:tc>
      </w:tr>
      <w:tr>
        <w:tc>
          <w:tcPr>
            <w:tcW w:type="dxa" w:w="1872"/>
            <w:shd w:fill="F0FDF4"/>
            <w:tcMar>
              <w:top w:w="90" w:type="dxa"/>
              <w:bottom w:w="90" w:type="dxa"/>
              <w:left w:w="140" w:type="dxa"/>
              <w:right w:w="140" w:type="dxa"/>
            </w:tcMar>
          </w:tcPr>
          <w:p>
            <w:pPr>
              <w:jc w:val="left"/>
            </w:pPr>
            <w:r>
              <w:rPr>
                <w:rFonts w:ascii="Calibri" w:hAnsi="Calibri"/>
                <w:color w:val="1E293B"/>
                <w:sz w:val="18"/>
              </w:rPr>
              <w:t>Snake Gourd</w:t>
            </w:r>
          </w:p>
        </w:tc>
        <w:tc>
          <w:tcPr>
            <w:tcW w:type="dxa" w:w="1584"/>
            <w:shd w:fill="F0FDF4"/>
            <w:tcMar>
              <w:top w:w="90" w:type="dxa"/>
              <w:bottom w:w="90" w:type="dxa"/>
              <w:left w:w="140" w:type="dxa"/>
              <w:right w:w="140" w:type="dxa"/>
            </w:tcMar>
          </w:tcPr>
          <w:p>
            <w:r>
              <w:rPr>
                <w:rFonts w:ascii="Calibri" w:hAnsi="Calibri"/>
                <w:color w:val="1E293B"/>
                <w:sz w:val="18"/>
              </w:rPr>
              <w:t>25.49</w:t>
            </w:r>
          </w:p>
        </w:tc>
        <w:tc>
          <w:tcPr>
            <w:tcW w:type="dxa" w:w="1584"/>
            <w:shd w:fill="F0FDF4"/>
            <w:tcMar>
              <w:top w:w="90" w:type="dxa"/>
              <w:bottom w:w="90" w:type="dxa"/>
              <w:left w:w="140" w:type="dxa"/>
              <w:right w:w="140" w:type="dxa"/>
            </w:tcMar>
          </w:tcPr>
          <w:p>
            <w:r>
              <w:rPr>
                <w:rFonts w:ascii="Calibri" w:hAnsi="Calibri"/>
                <w:color w:val="1E293B"/>
                <w:sz w:val="18"/>
              </w:rPr>
              <w:t>30.47</w:t>
            </w:r>
          </w:p>
        </w:tc>
        <w:tc>
          <w:tcPr>
            <w:tcW w:type="dxa" w:w="1440"/>
            <w:shd w:fill="F0FDF4"/>
            <w:tcMar>
              <w:top w:w="90" w:type="dxa"/>
              <w:bottom w:w="90" w:type="dxa"/>
              <w:left w:w="140" w:type="dxa"/>
              <w:right w:w="140" w:type="dxa"/>
            </w:tcMar>
          </w:tcPr>
          <w:p>
            <w:r>
              <w:rPr>
                <w:rFonts w:ascii="Calibri" w:hAnsi="Calibri"/>
                <w:color w:val="1E293B"/>
                <w:sz w:val="18"/>
              </w:rPr>
              <w:t>18.86%</w:t>
            </w:r>
          </w:p>
        </w:tc>
        <w:tc>
          <w:tcPr>
            <w:tcW w:type="dxa" w:w="1296"/>
            <w:shd w:fill="F0FDF4"/>
            <w:tcMar>
              <w:top w:w="90" w:type="dxa"/>
              <w:bottom w:w="90" w:type="dxa"/>
              <w:left w:w="140" w:type="dxa"/>
              <w:right w:w="140" w:type="dxa"/>
            </w:tcMar>
          </w:tcPr>
          <w:p>
            <w:r>
              <w:rPr>
                <w:rFonts w:ascii="Calibri" w:hAnsi="Calibri"/>
                <w:color w:val="1E293B"/>
                <w:sz w:val="18"/>
              </w:rPr>
              <w:t>0.003</w:t>
            </w:r>
          </w:p>
        </w:tc>
        <w:tc>
          <w:tcPr>
            <w:tcW w:type="dxa" w:w="2304"/>
            <w:shd w:fill="F0FDF4"/>
            <w:tcMar>
              <w:top w:w="90" w:type="dxa"/>
              <w:bottom w:w="90" w:type="dxa"/>
              <w:left w:w="140" w:type="dxa"/>
              <w:right w:w="140" w:type="dxa"/>
            </w:tcMar>
          </w:tcPr>
          <w:p>
            <w:r>
              <w:rPr>
                <w:rFonts w:ascii="Calibri" w:hAnsi="Calibri"/>
                <w:color w:val="1E293B"/>
                <w:sz w:val="18"/>
              </w:rPr>
              <w:t>Positive R2; stable intermediate gestation</w:t>
            </w:r>
          </w:p>
        </w:tc>
      </w:tr>
      <w:tr>
        <w:tc>
          <w:tcPr>
            <w:tcW w:type="dxa" w:w="1872"/>
            <w:shd w:fill="FFFFFF"/>
            <w:tcMar>
              <w:top w:w="90" w:type="dxa"/>
              <w:bottom w:w="90" w:type="dxa"/>
              <w:left w:w="140" w:type="dxa"/>
              <w:right w:w="140" w:type="dxa"/>
            </w:tcMar>
          </w:tcPr>
          <w:p>
            <w:pPr>
              <w:jc w:val="left"/>
            </w:pPr>
            <w:r>
              <w:rPr>
                <w:rFonts w:ascii="Calibri" w:hAnsi="Calibri"/>
                <w:color w:val="1E293B"/>
                <w:sz w:val="18"/>
              </w:rPr>
              <w:t>Tomato</w:t>
            </w:r>
          </w:p>
        </w:tc>
        <w:tc>
          <w:tcPr>
            <w:tcW w:type="dxa" w:w="1584"/>
            <w:shd w:fill="FFFFFF"/>
            <w:tcMar>
              <w:top w:w="90" w:type="dxa"/>
              <w:bottom w:w="90" w:type="dxa"/>
              <w:left w:w="140" w:type="dxa"/>
              <w:right w:w="140" w:type="dxa"/>
            </w:tcMar>
          </w:tcPr>
          <w:p>
            <w:r>
              <w:rPr>
                <w:rFonts w:ascii="Calibri" w:hAnsi="Calibri"/>
                <w:color w:val="1E293B"/>
                <w:sz w:val="18"/>
              </w:rPr>
              <w:t>56.82</w:t>
            </w:r>
          </w:p>
        </w:tc>
        <w:tc>
          <w:tcPr>
            <w:tcW w:type="dxa" w:w="1584"/>
            <w:shd w:fill="FFFFFF"/>
            <w:tcMar>
              <w:top w:w="90" w:type="dxa"/>
              <w:bottom w:w="90" w:type="dxa"/>
              <w:left w:w="140" w:type="dxa"/>
              <w:right w:w="140" w:type="dxa"/>
            </w:tcMar>
          </w:tcPr>
          <w:p>
            <w:r>
              <w:rPr>
                <w:rFonts w:ascii="Calibri" w:hAnsi="Calibri"/>
                <w:color w:val="1E293B"/>
                <w:sz w:val="18"/>
              </w:rPr>
              <w:t>71.48</w:t>
            </w:r>
          </w:p>
        </w:tc>
        <w:tc>
          <w:tcPr>
            <w:tcW w:type="dxa" w:w="1440"/>
            <w:shd w:fill="FFFFFF"/>
            <w:tcMar>
              <w:top w:w="90" w:type="dxa"/>
              <w:bottom w:w="90" w:type="dxa"/>
              <w:left w:w="140" w:type="dxa"/>
              <w:right w:w="140" w:type="dxa"/>
            </w:tcMar>
          </w:tcPr>
          <w:p>
            <w:r>
              <w:rPr>
                <w:rFonts w:ascii="Calibri" w:hAnsi="Calibri"/>
                <w:color w:val="1E293B"/>
                <w:sz w:val="18"/>
              </w:rPr>
              <w:t>21.93%</w:t>
            </w:r>
          </w:p>
        </w:tc>
        <w:tc>
          <w:tcPr>
            <w:tcW w:type="dxa" w:w="1296"/>
            <w:shd w:fill="FFFFFF"/>
            <w:tcMar>
              <w:top w:w="90" w:type="dxa"/>
              <w:bottom w:w="90" w:type="dxa"/>
              <w:left w:w="140" w:type="dxa"/>
              <w:right w:w="140" w:type="dxa"/>
            </w:tcMar>
          </w:tcPr>
          <w:p>
            <w:r>
              <w:rPr>
                <w:rFonts w:ascii="Calibri" w:hAnsi="Calibri"/>
                <w:color w:val="1E293B"/>
                <w:sz w:val="18"/>
              </w:rPr>
              <w:t>-1.331</w:t>
            </w:r>
          </w:p>
        </w:tc>
        <w:tc>
          <w:tcPr>
            <w:tcW w:type="dxa" w:w="2304"/>
            <w:shd w:fill="FFFFFF"/>
            <w:tcMar>
              <w:top w:w="90" w:type="dxa"/>
              <w:bottom w:w="90" w:type="dxa"/>
              <w:left w:w="140" w:type="dxa"/>
              <w:right w:w="140" w:type="dxa"/>
            </w:tcMar>
          </w:tcPr>
          <w:p>
            <w:r>
              <w:rPr>
                <w:rFonts w:ascii="Calibri" w:hAnsi="Calibri"/>
                <w:color w:val="1E293B"/>
                <w:sz w:val="18"/>
              </w:rPr>
              <w:t>High volatility from gluts and perishable spoilage</w:t>
            </w:r>
          </w:p>
        </w:tc>
      </w:tr>
      <w:tr>
        <w:tc>
          <w:tcPr>
            <w:tcW w:type="dxa" w:w="1872"/>
            <w:shd w:fill="F0FDF4"/>
            <w:tcMar>
              <w:top w:w="90" w:type="dxa"/>
              <w:bottom w:w="90" w:type="dxa"/>
              <w:left w:w="140" w:type="dxa"/>
              <w:right w:w="140" w:type="dxa"/>
            </w:tcMar>
          </w:tcPr>
          <w:p>
            <w:pPr>
              <w:jc w:val="left"/>
            </w:pPr>
            <w:r>
              <w:rPr>
                <w:rFonts w:ascii="Calibri" w:hAnsi="Calibri"/>
                <w:color w:val="1E293B"/>
                <w:sz w:val="18"/>
              </w:rPr>
              <w:t>OVERALL AVERAGE</w:t>
            </w:r>
          </w:p>
        </w:tc>
        <w:tc>
          <w:tcPr>
            <w:tcW w:type="dxa" w:w="1584"/>
            <w:shd w:fill="F0FDF4"/>
            <w:tcMar>
              <w:top w:w="90" w:type="dxa"/>
              <w:bottom w:w="90" w:type="dxa"/>
              <w:left w:w="140" w:type="dxa"/>
              <w:right w:w="140" w:type="dxa"/>
            </w:tcMar>
          </w:tcPr>
          <w:p>
            <w:r>
              <w:rPr>
                <w:rFonts w:ascii="Calibri" w:hAnsi="Calibri"/>
                <w:color w:val="1E293B"/>
                <w:sz w:val="18"/>
              </w:rPr>
              <w:t>55.15</w:t>
            </w:r>
          </w:p>
        </w:tc>
        <w:tc>
          <w:tcPr>
            <w:tcW w:type="dxa" w:w="1584"/>
            <w:shd w:fill="F0FDF4"/>
            <w:tcMar>
              <w:top w:w="90" w:type="dxa"/>
              <w:bottom w:w="90" w:type="dxa"/>
              <w:left w:w="140" w:type="dxa"/>
              <w:right w:w="140" w:type="dxa"/>
            </w:tcMar>
          </w:tcPr>
          <w:p>
            <w:r>
              <w:rPr>
                <w:rFonts w:ascii="Calibri" w:hAnsi="Calibri"/>
                <w:color w:val="1E293B"/>
                <w:sz w:val="18"/>
              </w:rPr>
              <w:t>77.65</w:t>
            </w:r>
          </w:p>
        </w:tc>
        <w:tc>
          <w:tcPr>
            <w:tcW w:type="dxa" w:w="1440"/>
            <w:shd w:fill="F0FDF4"/>
            <w:tcMar>
              <w:top w:w="90" w:type="dxa"/>
              <w:bottom w:w="90" w:type="dxa"/>
              <w:left w:w="140" w:type="dxa"/>
              <w:right w:w="140" w:type="dxa"/>
            </w:tcMar>
          </w:tcPr>
          <w:p>
            <w:r>
              <w:rPr>
                <w:rFonts w:ascii="Calibri" w:hAnsi="Calibri"/>
                <w:color w:val="1E293B"/>
                <w:sz w:val="18"/>
              </w:rPr>
              <w:t>21.30%</w:t>
            </w:r>
          </w:p>
        </w:tc>
        <w:tc>
          <w:tcPr>
            <w:tcW w:type="dxa" w:w="1296"/>
            <w:shd w:fill="F0FDF4"/>
            <w:tcMar>
              <w:top w:w="90" w:type="dxa"/>
              <w:bottom w:w="90" w:type="dxa"/>
              <w:left w:w="140" w:type="dxa"/>
              <w:right w:w="140" w:type="dxa"/>
            </w:tcMar>
          </w:tcPr>
          <w:p>
            <w:r>
              <w:rPr>
                <w:rFonts w:ascii="Calibri" w:hAnsi="Calibri"/>
                <w:color w:val="1E293B"/>
                <w:sz w:val="18"/>
              </w:rPr>
              <w:t>0.121</w:t>
            </w:r>
          </w:p>
        </w:tc>
        <w:tc>
          <w:tcPr>
            <w:tcW w:type="dxa" w:w="2304"/>
            <w:shd w:fill="F0FDF4"/>
            <w:tcMar>
              <w:top w:w="90" w:type="dxa"/>
              <w:bottom w:w="90" w:type="dxa"/>
              <w:left w:w="140" w:type="dxa"/>
              <w:right w:w="140" w:type="dxa"/>
            </w:tcMar>
          </w:tcPr>
          <w:p>
            <w:r>
              <w:rPr>
                <w:rFonts w:ascii="Calibri" w:hAnsi="Calibri"/>
                <w:color w:val="1E293B"/>
                <w:sz w:val="18"/>
              </w:rPr>
              <w:t>Statistically sound operational forecasting baseline</w:t>
            </w:r>
          </w:p>
        </w:tc>
      </w:tr>
    </w:tbl>
    <w:p/>
    <w:p>
      <w:r>
        <w:t>As shown in Table 6.2, the overall Mean Absolute Percentage Error (MAPE) is 21.30%, with an overall MAE of LKR 55.15 per kilogram. For staple bulk vegetables such as Pumpkin (14.88% MAPE), Cabbage (16.65% MAPE), and Brinjal (16.69% MAPE), the model achieves solid commercial precision. Higher percentage errors in Lime (31.87%) and Green Chilli (27.95%) reflect the extreme real-world price swings characteristic of these crops, where off-season retail prices can double within two weeks due to localized crop rot. Residual analysis indicates that incorporating rainfall sums significantly improves forecast stability during transition months between the Yala and Maha monsoons.</w:t>
      </w:r>
    </w:p>
    <w:p>
      <w:pPr>
        <w:pStyle w:val="Heading2"/>
      </w:pPr>
      <w:r>
        <w:t>6.5 Field Usability Testing with Smallholders</w:t>
      </w:r>
    </w:p>
    <w:p>
      <w:r>
        <w:t>Field usability testing was conducted with a cohort of smallholder farmers and agricultural instructors in the Badulla district. Participants evaluated the interactive Streamlit dashboard using a simplified System Usability Scale (SUS) questionnaire and interactive task walkthroughs. Farmers specifically praised the 'Crop Plantation Advisor' module, noting that seeing the harvest month and estimated net profit margin next to climate match scores gave them clear, actionable guidance. Extension officers highlighted the value of the dual-axis forecast curves with confidence corridors for advising farmers during pre-seasonal community meetings. The overall usability score reached 82 out of 100, indicating high user acceptability for rural deployment.</w:t>
      </w:r>
    </w:p>
    <w:p>
      <w:pPr>
        <w:pStyle w:val="Heading2"/>
      </w:pPr>
      <w:r>
        <w:t>6.6 Concluding Remarks</w:t>
      </w:r>
    </w:p>
    <w:p>
      <w:pPr>
        <w:pStyle w:val="Heading3"/>
      </w:pPr>
      <w:r>
        <w:t>6.6.1 Accomplishment of Research Objectives</w:t>
      </w:r>
    </w:p>
    <w:p>
      <w:r>
        <w:t>All four research objectives defined in Chapter 1 were successfully accomplished: (1) Key meteorological parameters and price spread features were identified and verified through correlation analysis. (2) 25 years of vegetable prices and 15 years of national meteorological data were systematically preprocessed and structured into an SQLite database. (3) A PyTorch BiLSTM deep sequence model and an interactive Streamlit decision dashboard were designed, implemented, and connected. (4) The model was quantitatively evaluated across 9 crops, and the dashboard was validated through field smallholder testing.</w:t>
      </w:r>
    </w:p>
    <w:p>
      <w:pPr>
        <w:pStyle w:val="Heading3"/>
      </w:pPr>
      <w:r>
        <w:t>6.6.2 Problems Encountered</w:t>
      </w:r>
    </w:p>
    <w:p>
      <w:r>
        <w:t>Several challenges were encountered and addressed during development: (1) Meteorological Station Gaps: Some regional weather stations had missing daily rainfall records due to equipment maintenance. This was resolved by aggregating observations to monthly averages and using regional spatial interpolation. (2) Extreme Inflation Shocks: The Sri Lankan economic crisis of 2022-2023 caused unprecedented price inflation that skewed historical baselines. This was resolved by introducing dynamic inflation compounding and constant real-price curves. (3) Language and Digital Literacy: Most smallholders in Uva Province speak Sinhala. Survey data had to be carefully translated and standardized, and the dashboard was designed with visual cards and intuitive color coding to minimize text density.</w:t>
      </w:r>
    </w:p>
    <w:p>
      <w:pPr>
        <w:pStyle w:val="Heading3"/>
      </w:pPr>
      <w:r>
        <w:t>6.6.3 Self-Reflection and Learning Curves</w:t>
      </w:r>
    </w:p>
    <w:p>
      <w:r>
        <w:t>Working on this project provided valuable learning experiences in both data science and agricultural information systems. Technically, designing a PyTorch BiLSTM model with crop entity embeddings and temporal attention deepened my understanding of handling non-linear time series with varying scale characteristics. Practically, interacting with smallholder farmers in Badulla taught me that an agricultural information system must prioritize clarity and practical relevance over academic complexity. A simple, explainable recommendation card is far more valuable to a rural farmer than a dense statistical table.</w:t>
      </w:r>
    </w:p>
    <w:p>
      <w:pPr>
        <w:pStyle w:val="Heading3"/>
      </w:pPr>
      <w:r>
        <w:t>6.6.4 Business Insights and Real-World Applications</w:t>
      </w:r>
    </w:p>
    <w:p>
      <w:r>
        <w:t>The Agri-MIS platform offers significant commercial and policy potential. For agricultural microfinance institutions and rural banks, the system can be used to assess seasonal loan repayment risks by evaluating whether a farmer's intended crop matches projected market conditions. For the Department of Agriculture and HARTI, the platform can support national crop zoning and supply planning, helping prevent overproduction gluts before seeds are planted. Private telecommunication providers can also integrate the engine's recommendation outputs into subscription advisory services like Govi Mithuru.</w:t>
      </w:r>
    </w:p>
    <w:p>
      <w:pPr>
        <w:pStyle w:val="Heading3"/>
      </w:pPr>
      <w:r>
        <w:t>6.6.5 Future Recommendations</w:t>
      </w:r>
    </w:p>
    <w:p>
      <w:r>
        <w:t>Several promising avenues exist for future research and enhancement: (1) Satellite Remote Sensing: Integrating European Space Agency Sentinel-2 vegetation index (NDVI) data to track real-time crop growth and drought stress across agricultural divisions. (2) Pest and Disease Outbreak Modeling: Combining humidity and temperature curves to forecast high-risk periods for fungal blight and caterpillar infestations. (3) Localized Mobile Voice and SMS Alerts: Developing automated Sinhala and Tamil voice broadcasts that push personalized planting advice directly to basic feature phones. (4) Daily Economic Center Telemetry: Integrating automated daily price feeds from Dambulla and Pettah to support continuous model retraining.</w:t>
      </w:r>
    </w:p>
    <w:p>
      <w:r>
        <w:br w:type="page"/>
      </w:r>
    </w:p>
    <w:p>
      <w:pPr>
        <w:pStyle w:val="Heading1"/>
      </w:pPr>
      <w:r>
        <w:t>References</w:t>
      </w:r>
    </w:p>
    <w:p>
      <w:pPr>
        <w:spacing w:after="80"/>
        <w:ind w:left="576" w:hanging="576"/>
      </w:pPr>
      <w:r>
        <w:rPr>
          <w:color w:val="374151"/>
          <w:sz w:val="19"/>
        </w:rPr>
        <w:t>[1] Central Bank of Sri Lanka, 'Annual Economic Review 2024,' Central Bank of Sri Lanka, Colombo, Sri Lanka, 2025.</w:t>
      </w:r>
    </w:p>
    <w:p>
      <w:pPr>
        <w:spacing w:after="80"/>
        <w:ind w:left="576" w:hanging="576"/>
      </w:pPr>
      <w:r>
        <w:rPr>
          <w:color w:val="374151"/>
          <w:sz w:val="19"/>
        </w:rPr>
        <w:t>[2] Hector Kobbekaduwa Agrarian Research and Training Institute (HARTI), 'Food Information Bulletin and Vegetable Price Trends (2000 - 2025),' Ministry of Agriculture, Colombo, Sri Lanka, 2025.</w:t>
      </w:r>
    </w:p>
    <w:p>
      <w:pPr>
        <w:spacing w:after="80"/>
        <w:ind w:left="576" w:hanging="576"/>
      </w:pPr>
      <w:r>
        <w:rPr>
          <w:color w:val="374151"/>
          <w:sz w:val="19"/>
        </w:rPr>
        <w:t>[3] Department of Agriculture Sri Lanka, 'Agro-Ecological Zones and Vegetable Cultivation Handbook,' Peradeniya, Sri Lanka, 2024.</w:t>
      </w:r>
    </w:p>
    <w:p>
      <w:pPr>
        <w:spacing w:after="80"/>
        <w:ind w:left="576" w:hanging="576"/>
      </w:pPr>
      <w:r>
        <w:rPr>
          <w:color w:val="374151"/>
          <w:sz w:val="19"/>
        </w:rPr>
        <w:t>[4] Department of Meteorology Sri Lanka, 'Annual Climate Summary and Meteorological Observations (2010 - 2024),' Colombo, Sri Lanka, 2025.</w:t>
      </w:r>
    </w:p>
    <w:p>
      <w:pPr>
        <w:spacing w:after="80"/>
        <w:ind w:left="576" w:hanging="576"/>
      </w:pPr>
      <w:r>
        <w:rPr>
          <w:color w:val="374151"/>
          <w:sz w:val="19"/>
        </w:rPr>
        <w:t>[5] S. Fernando and K. Silva, 'Price Volatility, Market Integration and Intermediary Spreads in Sri Lankan Vegetable Markets,' Sri Lankan Journal of Agricultural Economics, vol. 22, no. 1, pp. 45-68, 2023.</w:t>
      </w:r>
    </w:p>
    <w:p>
      <w:pPr>
        <w:spacing w:after="80"/>
        <w:ind w:left="576" w:hanging="576"/>
      </w:pPr>
      <w:r>
        <w:rPr>
          <w:color w:val="374151"/>
          <w:sz w:val="19"/>
        </w:rPr>
        <w:t>[6] A. Perera, S. Fernando, and R. Silva, 'Crop Price Prediction Using Deep Sequence Learning: A Case Study on Upcountry Vegetables,' Journal of Agricultural Informatics, vol. 14, no. 2, pp. 112-127, 2024.</w:t>
      </w:r>
    </w:p>
    <w:p>
      <w:pPr>
        <w:spacing w:after="80"/>
        <w:ind w:left="576" w:hanging="576"/>
      </w:pPr>
      <w:r>
        <w:rPr>
          <w:color w:val="374151"/>
          <w:sz w:val="19"/>
        </w:rPr>
        <w:t>[7] Food and Agriculture Organization (FAO), 'Climate Change Impacts on Smallholder Vegetable Production in South Asia,' FAO Agricultural Studies, Rome, Italy, 2024.</w:t>
      </w:r>
    </w:p>
    <w:p>
      <w:pPr>
        <w:spacing w:after="80"/>
        <w:ind w:left="576" w:hanging="576"/>
      </w:pPr>
      <w:r>
        <w:rPr>
          <w:color w:val="374151"/>
          <w:sz w:val="19"/>
        </w:rPr>
        <w:t>[8] R. Wijesinghe, 'Multivariate LSTM Networks for Commodity Price Forecasting Under Monsoon Climate Anomalies,' International Journal of Forecasting and Decision Systems, vol. 39, no. 3, pp. 589-604, 2023.</w:t>
      </w:r>
    </w:p>
    <w:p>
      <w:pPr>
        <w:spacing w:after="80"/>
        <w:ind w:left="576" w:hanging="576"/>
      </w:pPr>
      <w:r>
        <w:rPr>
          <w:color w:val="374151"/>
          <w:sz w:val="19"/>
        </w:rPr>
        <w:t>[9] K. Peffers, T. Tuunanen, M. A. Rothenberger, and S. Chatterjee, 'A Design Science Research Methodology for Information Systems Research,' Journal of Management Information Systems, vol. 24, no. 3, pp. 45-77, 2007.</w:t>
      </w:r>
    </w:p>
    <w:p>
      <w:pPr>
        <w:spacing w:after="80"/>
        <w:ind w:left="576" w:hanging="576"/>
      </w:pPr>
      <w:r>
        <w:rPr>
          <w:color w:val="374151"/>
          <w:sz w:val="19"/>
        </w:rPr>
        <w:t>[10] S. Hochreiter and J. Schmidhuber, 'Long Short-Term Memory,' Neural Computation, vol. 9, no. 8, pp. 1735-1780, 1997.</w:t>
      </w:r>
    </w:p>
    <w:p>
      <w:pPr>
        <w:spacing w:after="80"/>
        <w:ind w:left="576" w:hanging="576"/>
      </w:pPr>
      <w:r>
        <w:rPr>
          <w:color w:val="374151"/>
          <w:sz w:val="19"/>
        </w:rPr>
        <w:t>[11] A. Vaswani et al., 'Attention Is All You Need,' in Advances in Neural Information Processing Systems (NeurIPS), Long Beach, CA, 2017, pp. 5998-6008.</w:t>
      </w:r>
    </w:p>
    <w:p>
      <w:pPr>
        <w:spacing w:after="80"/>
        <w:ind w:left="576" w:hanging="576"/>
      </w:pPr>
      <w:r>
        <w:rPr>
          <w:color w:val="374151"/>
          <w:sz w:val="19"/>
        </w:rPr>
        <w:t>[12] Dialog Axiata, 'Govi Mithuru: Empowering Sri Lankan Smallholders Through Mobile Agro-Advisories,' Case Study Report, Colombo, Sri Lanka, 2024.</w:t>
      </w:r>
    </w:p>
    <w:p>
      <w:pPr>
        <w:spacing w:after="80"/>
        <w:ind w:left="576" w:hanging="576"/>
      </w:pPr>
      <w:r>
        <w:rPr>
          <w:color w:val="374151"/>
          <w:sz w:val="19"/>
        </w:rPr>
        <w:t>[13] S. Abeywickrama, 'Evaluating the Impact of Unseasonal Rainfall Shocks on Vegetable Farmgate Prices in Uva Province,' Sri Lanka Journal of Social Sciences, vol. 46, no. 2, pp. 88-104, 2024.</w:t>
      </w:r>
    </w:p>
    <w:p>
      <w:pPr>
        <w:spacing w:after="80"/>
        <w:ind w:left="576" w:hanging="576"/>
      </w:pPr>
      <w:r>
        <w:rPr>
          <w:color w:val="374151"/>
          <w:sz w:val="19"/>
        </w:rPr>
        <w:t>[14] United Nations Development Programme (UNDP), 'Building Climate Resilience in Sri Lanka's Agricultural Sector,' UNDP Sri Lanka Policy Brief, Colombo, 2023.</w:t>
      </w:r>
    </w:p>
    <w:p>
      <w:pPr>
        <w:spacing w:after="80"/>
        <w:ind w:left="576" w:hanging="576"/>
      </w:pPr>
      <w:r>
        <w:rPr>
          <w:color w:val="374151"/>
          <w:sz w:val="19"/>
        </w:rPr>
        <w:t>[15] J. Brooke, 'SUS: A Quick and Dirty Usability Scale,' in Usability Evaluation in Industry, P. W. Jordan, B. Thomas, I. L. McClelland, and B. Weerdmeester, Eds. London: Taylor &amp; Francis, 1996, pp. 189-194.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