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Mediashippers Marketplace</w:t>
      </w:r>
    </w:p>
    <w:p>
      <w:pPr>
        <w:jc w:val="center"/>
      </w:pPr>
      <w:r>
        <w:rPr>
          <w:b/>
          <w:sz w:val="40"/>
        </w:rPr>
        <w:t>Internal Marketplace Operations Documentation</w:t>
        <w:br/>
      </w:r>
      <w:r>
        <w:rPr>
          <w:sz w:val="32"/>
        </w:rPr>
        <w:t>STEP 3 — CREDITS &amp; TALENT INFORMATION</w:t>
      </w:r>
    </w:p>
    <w:p/>
    <w:p>
      <w:pPr>
        <w:pStyle w:val="Heading1"/>
      </w:pPr>
      <w:r>
        <w:t>Reference Workflow Interface</w:t>
      </w:r>
    </w:p>
    <w:p>
      <w:r>
        <w:drawing>
          <wp:inline xmlns:a="http://schemas.openxmlformats.org/drawingml/2006/main" xmlns:pic="http://schemas.openxmlformats.org/drawingml/2006/picture">
            <wp:extent cx="6126480" cy="2905209"/>
            <wp:docPr id="1" name="Picture 1"/>
            <wp:cNvGraphicFramePr>
              <a:graphicFrameLocks noChangeAspect="1"/>
            </wp:cNvGraphicFramePr>
            <a:graphic>
              <a:graphicData uri="http://schemas.openxmlformats.org/drawingml/2006/picture">
                <pic:pic>
                  <pic:nvPicPr>
                    <pic:cNvPr id="0" name="1ceb17cc-110f-48f2-849d-8f997fec6b21.png"/>
                    <pic:cNvPicPr/>
                  </pic:nvPicPr>
                  <pic:blipFill>
                    <a:blip r:embed="rId9"/>
                    <a:stretch>
                      <a:fillRect/>
                    </a:stretch>
                  </pic:blipFill>
                  <pic:spPr>
                    <a:xfrm>
                      <a:off x="0" y="0"/>
                      <a:ext cx="6126480" cy="2905209"/>
                    </a:xfrm>
                    <a:prstGeom prst="rect"/>
                  </pic:spPr>
                </pic:pic>
              </a:graphicData>
            </a:graphic>
          </wp:inline>
        </w:drawing>
      </w:r>
    </w:p>
    <w:p>
      <w:pPr>
        <w:jc w:val="center"/>
      </w:pPr>
      <w:r>
        <w:t>Figure 3.0 — Credits &amp; Talent onboarding interface used during title registration workflows.</w:t>
      </w:r>
    </w:p>
    <w:p>
      <w:pPr>
        <w:pStyle w:val="Heading1"/>
      </w:pPr>
      <w:r>
        <w:t>1. Purpose &amp; Core Philosophy</w:t>
      </w:r>
    </w:p>
    <w:p>
      <w:r>
        <w:t>The Credits &amp; Talent Information stage is responsible for capturing the creative and commercial personnel associated with a title. This metadata layer helps buyers evaluate project credibility, talent value, marketability, and licensing potential before entering negotiation or shortlisting workflows.</w:t>
      </w:r>
    </w:p>
    <w:p>
      <w:r>
        <w:t>In modern content licensing ecosystems, recognized cast members, directors, and producers significantly influence acquisition decisions. As a result, the Mediashippers marketplace treats talent metadata as a critical discovery and recommendation component across buyer-facing interfaces.</w:t>
      </w:r>
    </w:p>
    <w:p>
      <w:pPr>
        <w:pStyle w:val="Heading1"/>
      </w:pPr>
      <w:r>
        <w:t>2. Marketplace Objectives</w:t>
      </w:r>
    </w:p>
    <w:p>
      <w:pPr>
        <w:pStyle w:val="ListBullet"/>
      </w:pPr>
      <w:r>
        <w:t>Improve buyer confidence during title evaluation</w:t>
      </w:r>
    </w:p>
    <w:p>
      <w:pPr>
        <w:pStyle w:val="ListBullet"/>
      </w:pPr>
      <w:r>
        <w:t>Support AI-powered recommendation ranking systems</w:t>
      </w:r>
    </w:p>
    <w:p>
      <w:pPr>
        <w:pStyle w:val="ListBullet"/>
      </w:pPr>
      <w:r>
        <w:t>Increase discoverability for commercially valuable talent</w:t>
      </w:r>
    </w:p>
    <w:p>
      <w:pPr>
        <w:pStyle w:val="ListBullet"/>
      </w:pPr>
      <w:r>
        <w:t>Provide standardized metadata for catalog indexing</w:t>
      </w:r>
    </w:p>
    <w:p>
      <w:pPr>
        <w:pStyle w:val="ListBullet"/>
      </w:pPr>
      <w:r>
        <w:t>Assist acquisition teams in evaluating title quality</w:t>
      </w:r>
    </w:p>
    <w:p>
      <w:pPr>
        <w:pStyle w:val="ListBullet"/>
      </w:pPr>
      <w:r>
        <w:t>Support internal analytics and search optimization systems</w:t>
      </w:r>
    </w:p>
    <w:p>
      <w:pPr>
        <w:pStyle w:val="Heading1"/>
      </w:pPr>
      <w:r>
        <w:t>3. Credit Categories &amp; Collection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Requirement</w:t>
            </w:r>
          </w:p>
        </w:tc>
        <w:tc>
          <w:tcPr>
            <w:tcW w:type="dxa" w:w="2160"/>
          </w:tcPr>
          <w:p>
            <w:r>
              <w:t>Description</w:t>
            </w:r>
          </w:p>
        </w:tc>
        <w:tc>
          <w:tcPr>
            <w:tcW w:type="dxa" w:w="2160"/>
          </w:tcPr>
          <w:p>
            <w:r>
              <w:t>Marketplace Importance</w:t>
            </w:r>
          </w:p>
        </w:tc>
      </w:tr>
      <w:tr>
        <w:tc>
          <w:tcPr>
            <w:tcW w:type="dxa" w:w="2160"/>
          </w:tcPr>
          <w:p>
            <w:r>
              <w:t>Directors</w:t>
            </w:r>
          </w:p>
        </w:tc>
        <w:tc>
          <w:tcPr>
            <w:tcW w:type="dxa" w:w="2160"/>
          </w:tcPr>
          <w:p>
            <w:r>
              <w:t>Mandatory</w:t>
            </w:r>
          </w:p>
        </w:tc>
        <w:tc>
          <w:tcPr>
            <w:tcW w:type="dxa" w:w="2160"/>
          </w:tcPr>
          <w:p>
            <w:r>
              <w:t>Primary creative leads responsible for directing the title.</w:t>
            </w:r>
          </w:p>
        </w:tc>
        <w:tc>
          <w:tcPr>
            <w:tcW w:type="dxa" w:w="2160"/>
          </w:tcPr>
          <w:p>
            <w:r>
              <w:t>High</w:t>
            </w:r>
          </w:p>
        </w:tc>
      </w:tr>
      <w:tr>
        <w:tc>
          <w:tcPr>
            <w:tcW w:type="dxa" w:w="2160"/>
          </w:tcPr>
          <w:p>
            <w:r>
              <w:t>Producers</w:t>
            </w:r>
          </w:p>
        </w:tc>
        <w:tc>
          <w:tcPr>
            <w:tcW w:type="dxa" w:w="2160"/>
          </w:tcPr>
          <w:p>
            <w:r>
              <w:t>Optional</w:t>
            </w:r>
          </w:p>
        </w:tc>
        <w:tc>
          <w:tcPr>
            <w:tcW w:type="dxa" w:w="2160"/>
          </w:tcPr>
          <w:p>
            <w:r>
              <w:t>Production, financing, or executive stakeholders.</w:t>
            </w:r>
          </w:p>
        </w:tc>
        <w:tc>
          <w:tcPr>
            <w:tcW w:type="dxa" w:w="2160"/>
          </w:tcPr>
          <w:p>
            <w:r>
              <w:t>Medium</w:t>
            </w:r>
          </w:p>
        </w:tc>
      </w:tr>
      <w:tr>
        <w:tc>
          <w:tcPr>
            <w:tcW w:type="dxa" w:w="2160"/>
          </w:tcPr>
          <w:p>
            <w:r>
              <w:t>Writers</w:t>
            </w:r>
          </w:p>
        </w:tc>
        <w:tc>
          <w:tcPr>
            <w:tcW w:type="dxa" w:w="2160"/>
          </w:tcPr>
          <w:p>
            <w:r>
              <w:t>Optional</w:t>
            </w:r>
          </w:p>
        </w:tc>
        <w:tc>
          <w:tcPr>
            <w:tcW w:type="dxa" w:w="2160"/>
          </w:tcPr>
          <w:p>
            <w:r>
              <w:t>Story, screenplay, or dialogue contributors.</w:t>
            </w:r>
          </w:p>
        </w:tc>
        <w:tc>
          <w:tcPr>
            <w:tcW w:type="dxa" w:w="2160"/>
          </w:tcPr>
          <w:p>
            <w:r>
              <w:t>Medium</w:t>
            </w:r>
          </w:p>
        </w:tc>
      </w:tr>
      <w:tr>
        <w:tc>
          <w:tcPr>
            <w:tcW w:type="dxa" w:w="2160"/>
          </w:tcPr>
          <w:p>
            <w:r>
              <w:t>Cast Members</w:t>
            </w:r>
          </w:p>
        </w:tc>
        <w:tc>
          <w:tcPr>
            <w:tcW w:type="dxa" w:w="2160"/>
          </w:tcPr>
          <w:p>
            <w:r>
              <w:t>Strongly Recommended</w:t>
            </w:r>
          </w:p>
        </w:tc>
        <w:tc>
          <w:tcPr>
            <w:tcW w:type="dxa" w:w="2160"/>
          </w:tcPr>
          <w:p>
            <w:r>
              <w:t>Actors and performers appearing in the title.</w:t>
            </w:r>
          </w:p>
        </w:tc>
        <w:tc>
          <w:tcPr>
            <w:tcW w:type="dxa" w:w="2160"/>
          </w:tcPr>
          <w:p>
            <w:r>
              <w:t>High</w:t>
            </w:r>
          </w:p>
        </w:tc>
      </w:tr>
    </w:tbl>
    <w:p>
      <w:pPr>
        <w:pStyle w:val="Heading1"/>
      </w:pPr>
      <w:r>
        <w:t>4. Why Credits Matter in Licensing Workflows</w:t>
      </w:r>
    </w:p>
    <w:p>
      <w:r>
        <w:t>Talent recognition often influences licensing negotiations, discoverability, and commercial valuation across streaming, television, and theatrical markets. Buyers frequently prioritize titles featuring recognizable actors, award-winning directors, or established production teams.</w:t>
      </w:r>
    </w:p>
    <w:p>
      <w:pPr>
        <w:pStyle w:val="ListBullet"/>
      </w:pPr>
      <w:r>
        <w:t>Recognizable cast improves buyer attention</w:t>
      </w:r>
    </w:p>
    <w:p>
      <w:pPr>
        <w:pStyle w:val="ListBullet"/>
      </w:pPr>
      <w:r>
        <w:t>Director reputation can influence licensing value</w:t>
      </w:r>
    </w:p>
    <w:p>
      <w:pPr>
        <w:pStyle w:val="ListBullet"/>
      </w:pPr>
      <w:r>
        <w:t>Production credibility increases professional trust</w:t>
      </w:r>
    </w:p>
    <w:p>
      <w:pPr>
        <w:pStyle w:val="ListBullet"/>
      </w:pPr>
      <w:r>
        <w:t>Talent metadata improves recommendation rankings</w:t>
      </w:r>
    </w:p>
    <w:p>
      <w:pPr>
        <w:pStyle w:val="ListBullet"/>
      </w:pPr>
      <w:r>
        <w:t>Enhanced metadata improves submission visibility</w:t>
      </w:r>
    </w:p>
    <w:p>
      <w:pPr>
        <w:pStyle w:val="Heading1"/>
      </w:pPr>
      <w:r>
        <w:t>5. Dummy Marketplace Credit Submission</w:t>
      </w:r>
    </w:p>
    <w:p>
      <w:r>
        <w:t>The following fictional example demonstrates how talent metadata may appear during a professional marketplace onboarding workflow.</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Example Entries</w:t>
            </w:r>
          </w:p>
        </w:tc>
      </w:tr>
      <w:tr>
        <w:tc>
          <w:tcPr>
            <w:tcW w:type="dxa" w:w="4320"/>
          </w:tcPr>
          <w:p>
            <w:r>
              <w:t>Directors</w:t>
            </w:r>
          </w:p>
        </w:tc>
        <w:tc>
          <w:tcPr>
            <w:tcW w:type="dxa" w:w="4320"/>
          </w:tcPr>
          <w:p>
            <w:r>
              <w:t>Christopher Nolan</w:t>
            </w:r>
          </w:p>
        </w:tc>
      </w:tr>
      <w:tr>
        <w:tc>
          <w:tcPr>
            <w:tcW w:type="dxa" w:w="4320"/>
          </w:tcPr>
          <w:p>
            <w:r>
              <w:t>Producers</w:t>
            </w:r>
          </w:p>
        </w:tc>
        <w:tc>
          <w:tcPr>
            <w:tcW w:type="dxa" w:w="4320"/>
          </w:tcPr>
          <w:p>
            <w:r>
              <w:t>Emma Thomas, Charles Roven</w:t>
            </w:r>
          </w:p>
        </w:tc>
      </w:tr>
      <w:tr>
        <w:tc>
          <w:tcPr>
            <w:tcW w:type="dxa" w:w="4320"/>
          </w:tcPr>
          <w:p>
            <w:r>
              <w:t>Writers</w:t>
            </w:r>
          </w:p>
        </w:tc>
        <w:tc>
          <w:tcPr>
            <w:tcW w:type="dxa" w:w="4320"/>
          </w:tcPr>
          <w:p>
            <w:r>
              <w:t>Jonathan Nolan</w:t>
            </w:r>
          </w:p>
        </w:tc>
      </w:tr>
      <w:tr>
        <w:tc>
          <w:tcPr>
            <w:tcW w:type="dxa" w:w="4320"/>
          </w:tcPr>
          <w:p>
            <w:r>
              <w:t>Cast Members</w:t>
            </w:r>
          </w:p>
        </w:tc>
        <w:tc>
          <w:tcPr>
            <w:tcW w:type="dxa" w:w="4320"/>
          </w:tcPr>
          <w:p>
            <w:r>
              <w:t>Matthew McConaughey, Anne Hathaway, Jessica Chastain, Michael Caine</w:t>
            </w:r>
          </w:p>
        </w:tc>
      </w:tr>
    </w:tbl>
    <w:p>
      <w:pPr>
        <w:pStyle w:val="Heading1"/>
      </w:pPr>
      <w:r>
        <w:t>6. Talent Entry Best Practices</w:t>
      </w:r>
    </w:p>
    <w:p>
      <w:r>
        <w:t>To maintain consistency and metadata quality across the marketplace, users must follow standardized talent entry formatting rules.</w:t>
      </w:r>
    </w:p>
    <w:p>
      <w:pPr>
        <w:pStyle w:val="ListNumber"/>
      </w:pPr>
      <w:r>
        <w:t>Add officially credited personnel only</w:t>
      </w:r>
    </w:p>
    <w:p>
      <w:pPr>
        <w:pStyle w:val="ListNumber"/>
      </w:pPr>
      <w:r>
        <w:t>Use complete legal or professional stage names</w:t>
      </w:r>
    </w:p>
    <w:p>
      <w:pPr>
        <w:pStyle w:val="ListNumber"/>
      </w:pPr>
      <w:r>
        <w:t>Avoid duplicate cast or crew entries</w:t>
      </w:r>
    </w:p>
    <w:p>
      <w:pPr>
        <w:pStyle w:val="ListNumber"/>
      </w:pPr>
      <w:r>
        <w:t>Prioritize lead cast members before supporting roles</w:t>
      </w:r>
    </w:p>
    <w:p>
      <w:pPr>
        <w:pStyle w:val="ListNumber"/>
      </w:pPr>
      <w:r>
        <w:t>Maintain consistent naming structures</w:t>
      </w:r>
    </w:p>
    <w:p>
      <w:pPr>
        <w:pStyle w:val="ListNumber"/>
      </w:pPr>
      <w:r>
        <w:t>Avoid nicknames or unverified aliases</w:t>
      </w:r>
    </w:p>
    <w:p>
      <w:pPr>
        <w:pStyle w:val="ListNumber"/>
      </w:pPr>
      <w:r>
        <w:t>Ensure spelling accuracy for discoverability systems</w:t>
      </w:r>
    </w:p>
    <w:p>
      <w:pPr>
        <w:pStyle w:val="Heading1"/>
      </w:pPr>
      <w:r>
        <w:t>7. Your Film’s Dream Team</w:t>
      </w:r>
    </w:p>
    <w:p>
      <w:r>
        <w:t>Strong cast and crew information significantly increases the commercial attractiveness of a title across licensing marketplaces. Buyers evaluating submissions frequently review attached talent before examining deeper rights or financial structures.</w:t>
      </w:r>
    </w:p>
    <w:p>
      <w:r>
        <w:t>Titles featuring award-winning directors, globally recognized actors, or established producers often receive increased visibility during content discovery workflows.</w:t>
      </w:r>
    </w:p>
    <w:p>
      <w:pPr>
        <w:pStyle w:val="Heading1"/>
      </w:pPr>
      <w:r>
        <w:t>8. Requirements Checklist</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Status</w:t>
            </w:r>
          </w:p>
        </w:tc>
      </w:tr>
      <w:tr>
        <w:tc>
          <w:tcPr>
            <w:tcW w:type="dxa" w:w="4320"/>
          </w:tcPr>
          <w:p>
            <w:r>
              <w:t>At least one Director added</w:t>
            </w:r>
          </w:p>
        </w:tc>
        <w:tc>
          <w:tcPr>
            <w:tcW w:type="dxa" w:w="4320"/>
          </w:tcPr>
          <w:p>
            <w:r>
              <w:t>Mandatory</w:t>
            </w:r>
          </w:p>
        </w:tc>
      </w:tr>
      <w:tr>
        <w:tc>
          <w:tcPr>
            <w:tcW w:type="dxa" w:w="4320"/>
          </w:tcPr>
          <w:p>
            <w:r>
              <w:t>Producer information</w:t>
            </w:r>
          </w:p>
        </w:tc>
        <w:tc>
          <w:tcPr>
            <w:tcW w:type="dxa" w:w="4320"/>
          </w:tcPr>
          <w:p>
            <w:r>
              <w:t>Optional</w:t>
            </w:r>
          </w:p>
        </w:tc>
      </w:tr>
      <w:tr>
        <w:tc>
          <w:tcPr>
            <w:tcW w:type="dxa" w:w="4320"/>
          </w:tcPr>
          <w:p>
            <w:r>
              <w:t>Writer information</w:t>
            </w:r>
          </w:p>
        </w:tc>
        <w:tc>
          <w:tcPr>
            <w:tcW w:type="dxa" w:w="4320"/>
          </w:tcPr>
          <w:p>
            <w:r>
              <w:t>Optional</w:t>
            </w:r>
          </w:p>
        </w:tc>
      </w:tr>
      <w:tr>
        <w:tc>
          <w:tcPr>
            <w:tcW w:type="dxa" w:w="4320"/>
          </w:tcPr>
          <w:p>
            <w:r>
              <w:t>Cast members added</w:t>
            </w:r>
          </w:p>
        </w:tc>
        <w:tc>
          <w:tcPr>
            <w:tcW w:type="dxa" w:w="4320"/>
          </w:tcPr>
          <w:p>
            <w:r>
              <w:t>Strongly Recommended</w:t>
            </w:r>
          </w:p>
        </w:tc>
      </w:tr>
      <w:tr>
        <w:tc>
          <w:tcPr>
            <w:tcW w:type="dxa" w:w="4320"/>
          </w:tcPr>
          <w:p>
            <w:r>
              <w:t>Duplicate entries avoided</w:t>
            </w:r>
          </w:p>
        </w:tc>
        <w:tc>
          <w:tcPr>
            <w:tcW w:type="dxa" w:w="4320"/>
          </w:tcPr>
          <w:p>
            <w:r>
              <w:t>Mandatory</w:t>
            </w:r>
          </w:p>
        </w:tc>
      </w:tr>
    </w:tbl>
    <w:p>
      <w:pPr>
        <w:pStyle w:val="Heading1"/>
      </w:pPr>
      <w:r>
        <w:t>9. Validation &amp; Platform Rules</w:t>
      </w:r>
    </w:p>
    <w:p>
      <w:r>
        <w:t>Before progressing to the Assets workflow stage, the platform executes multiple automated validation checks to maintain metadata integrity and marketplace consistency.</w:t>
      </w:r>
    </w:p>
    <w:p>
      <w:pPr>
        <w:pStyle w:val="ListBullet"/>
      </w:pPr>
      <w:r>
        <w:t>Director field cannot remain empty</w:t>
      </w:r>
    </w:p>
    <w:p>
      <w:pPr>
        <w:pStyle w:val="ListBullet"/>
      </w:pPr>
      <w:r>
        <w:t>Duplicate cast or crew entries are automatically blocked</w:t>
      </w:r>
    </w:p>
    <w:p>
      <w:pPr>
        <w:pStyle w:val="ListBullet"/>
      </w:pPr>
      <w:r>
        <w:t>Cast fields support multiple member entries</w:t>
      </w:r>
    </w:p>
    <w:p>
      <w:pPr>
        <w:pStyle w:val="ListBullet"/>
      </w:pPr>
      <w:r>
        <w:t>Unsupported formatting structures may be rejected</w:t>
      </w:r>
    </w:p>
    <w:p>
      <w:pPr>
        <w:pStyle w:val="ListBullet"/>
      </w:pPr>
      <w:r>
        <w:t>Credit metadata contributes to discoverability rankings</w:t>
      </w:r>
    </w:p>
    <w:p>
      <w:pPr>
        <w:pStyle w:val="ListBullet"/>
      </w:pPr>
      <w:r>
        <w:t>Improper naming structures may trigger manual review</w:t>
      </w:r>
    </w:p>
    <w:p>
      <w:pPr>
        <w:pStyle w:val="ListBullet"/>
      </w:pPr>
      <w:r>
        <w:t>Metadata integrity impacts recommendation visibility</w:t>
      </w:r>
    </w:p>
    <w:p>
      <w:pPr>
        <w:pStyle w:val="Heading1"/>
      </w:pPr>
      <w:r>
        <w:t>10. Marketplace Relevance &amp; Buyer Discovery</w:t>
      </w:r>
    </w:p>
    <w:p>
      <w:r>
        <w:t>Buyer discovery systems within the Mediashippers ecosystem may use cast recognition, director reputation, genre alignment, and production credibility when ranking titles inside recommendation and licensing pipelines.</w:t>
      </w:r>
    </w:p>
    <w:p>
      <w:r>
        <w:t>Enhanced credit metadata helps improve visibility across content discovery interfaces, acquisition dashboards, recommendation systems, and territory-based licensing searches.</w:t>
      </w:r>
    </w:p>
    <w:p>
      <w:pPr>
        <w:pStyle w:val="Heading1"/>
      </w:pPr>
      <w:r>
        <w:t>11. Workflow Progression</w:t>
      </w:r>
    </w:p>
    <w:p>
      <w:pPr>
        <w:pStyle w:val="ListBullet"/>
      </w:pPr>
      <w:r>
        <w:t>Start</w:t>
      </w:r>
    </w:p>
    <w:p>
      <w:pPr>
        <w:pStyle w:val="ListBullet"/>
      </w:pPr>
      <w:r>
        <w:t>Metadata</w:t>
      </w:r>
    </w:p>
    <w:p>
      <w:pPr>
        <w:pStyle w:val="ListBullet"/>
      </w:pPr>
      <w:r>
        <w:t>Credits</w:t>
      </w:r>
    </w:p>
    <w:p>
      <w:pPr>
        <w:pStyle w:val="ListBullet"/>
      </w:pPr>
      <w:r>
        <w:t>Assets</w:t>
      </w:r>
    </w:p>
    <w:p>
      <w:pPr>
        <w:pStyle w:val="ListBullet"/>
      </w:pPr>
      <w:r>
        <w:t>Rights</w:t>
      </w:r>
    </w:p>
    <w:p>
      <w:pPr>
        <w:pStyle w:val="ListBullet"/>
      </w:pPr>
      <w:r>
        <w:t>Review</w:t>
      </w:r>
    </w:p>
    <w:p>
      <w:pPr>
        <w:pStyle w:val="Heading1"/>
      </w:pPr>
      <w:r>
        <w:t>12. Internal Training Notes</w:t>
      </w:r>
    </w:p>
    <w:p>
      <w:r>
        <w:t>This document is intended strictly for internal onboarding and intern training purposes. All titles, names, talent references, and metadata examples included in this document are fictional or used purely as demonstration references.</w:t>
      </w:r>
    </w:p>
    <w:p>
      <w:r>
        <w:t>Interns reviewing this workflow should understand how credits and talent metadata influence buyer trust, recommendation visibility, licensing attractiveness, and marketplace discoverability.</w:t>
      </w:r>
    </w:p>
    <w:p>
      <w:pPr>
        <w:jc w:val="center"/>
      </w:pPr>
      <w:r>
        <w:rPr>
          <w:b/>
        </w:rPr>
        <w:br/>
        <w:t>CONFIDENTIAL — MEDIASHIPPERS INTERNAL TRAINING &amp; OPERATIONS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