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Mediashippers Marketplace</w:t>
      </w:r>
    </w:p>
    <w:p>
      <w:pPr>
        <w:jc w:val="center"/>
      </w:pPr>
      <w:r>
        <w:rPr>
          <w:b/>
          <w:sz w:val="40"/>
        </w:rPr>
        <w:t>Internal Marketplace Operations Documentation</w:t>
        <w:br/>
      </w:r>
      <w:r>
        <w:rPr>
          <w:sz w:val="32"/>
        </w:rPr>
        <w:t>STEP 6 — REVIEW, VALIDATION &amp; FINAL SUBMISSION WORKFLOW</w:t>
      </w:r>
    </w:p>
    <w:p/>
    <w:p>
      <w:pPr>
        <w:pStyle w:val="Heading1"/>
      </w:pPr>
      <w:r>
        <w:t>Reference Workflow Interface</w:t>
      </w:r>
    </w:p>
    <w:p>
      <w:r>
        <w:drawing>
          <wp:inline xmlns:a="http://schemas.openxmlformats.org/drawingml/2006/main" xmlns:pic="http://schemas.openxmlformats.org/drawingml/2006/picture">
            <wp:extent cx="6126480" cy="2905209"/>
            <wp:docPr id="1" name="Picture 1"/>
            <wp:cNvGraphicFramePr>
              <a:graphicFrameLocks noChangeAspect="1"/>
            </wp:cNvGraphicFramePr>
            <a:graphic>
              <a:graphicData uri="http://schemas.openxmlformats.org/drawingml/2006/picture">
                <pic:pic>
                  <pic:nvPicPr>
                    <pic:cNvPr id="0" name="1ceb17cc-110f-48f2-849d-8f997fec6b21.png"/>
                    <pic:cNvPicPr/>
                  </pic:nvPicPr>
                  <pic:blipFill>
                    <a:blip r:embed="rId9"/>
                    <a:stretch>
                      <a:fillRect/>
                    </a:stretch>
                  </pic:blipFill>
                  <pic:spPr>
                    <a:xfrm>
                      <a:off x="0" y="0"/>
                      <a:ext cx="6126480" cy="2905209"/>
                    </a:xfrm>
                    <a:prstGeom prst="rect"/>
                  </pic:spPr>
                </pic:pic>
              </a:graphicData>
            </a:graphic>
          </wp:inline>
        </w:drawing>
      </w:r>
    </w:p>
    <w:p>
      <w:pPr>
        <w:jc w:val="center"/>
      </w:pPr>
      <w:r>
        <w:t>Figure 6.0 — Final Review &amp; Submission interface used before marketplace publishing.</w:t>
      </w:r>
    </w:p>
    <w:p>
      <w:pPr>
        <w:pStyle w:val="Heading1"/>
      </w:pPr>
      <w:r>
        <w:t>1. Purpose &amp; Core Philosophy</w:t>
      </w:r>
    </w:p>
    <w:p>
      <w:r>
        <w:t>The Review &amp; Submission workflow represents the final operational checkpoint before a title becomes eligible for marketplace discovery, licensing activity, recommendation ranking, and buyer engagement. This workflow validates whether all metadata, rights configurations, promotional assets, credits, and compliance requirements satisfy Mediashippers publishing standards.</w:t>
      </w:r>
    </w:p>
    <w:p>
      <w:r>
        <w:t>The primary objective of this stage is to reduce incomplete or legally invalid submissions while improving buyer confidence and marketplace presentation quality. Every workflow section contributes to a centralized readiness scoring system that determines whether a title may proceed to publication.</w:t>
      </w:r>
    </w:p>
    <w:p>
      <w:pPr>
        <w:pStyle w:val="Heading1"/>
      </w:pPr>
      <w:r>
        <w:t>2. Marketplace Submission Objectives</w:t>
      </w:r>
    </w:p>
    <w:p>
      <w:pPr>
        <w:pStyle w:val="ListBullet"/>
      </w:pPr>
      <w:r>
        <w:t>Prevent incomplete titles from entering discovery pipelines</w:t>
      </w:r>
    </w:p>
    <w:p>
      <w:pPr>
        <w:pStyle w:val="ListBullet"/>
      </w:pPr>
      <w:r>
        <w:t>Improve buyer trust through standardized validation</w:t>
      </w:r>
    </w:p>
    <w:p>
      <w:pPr>
        <w:pStyle w:val="ListBullet"/>
      </w:pPr>
      <w:r>
        <w:t>Ensure licensing configurations remain legally compliant</w:t>
      </w:r>
    </w:p>
    <w:p>
      <w:pPr>
        <w:pStyle w:val="ListBullet"/>
      </w:pPr>
      <w:r>
        <w:t>Verify metadata completeness and discoverability readiness</w:t>
      </w:r>
    </w:p>
    <w:p>
      <w:pPr>
        <w:pStyle w:val="ListBullet"/>
      </w:pPr>
      <w:r>
        <w:t>Validate promotional assets and commercial positioning</w:t>
      </w:r>
    </w:p>
    <w:p>
      <w:pPr>
        <w:pStyle w:val="ListBullet"/>
      </w:pPr>
      <w:r>
        <w:t>Support automated moderation and marketplace approval workflows</w:t>
      </w:r>
    </w:p>
    <w:p>
      <w:pPr>
        <w:pStyle w:val="Heading1"/>
      </w:pPr>
      <w:r>
        <w:t>3. Submission Completion Workflow</w:t>
      </w:r>
    </w:p>
    <w:p>
      <w:r>
        <w:t>The Mediashippers onboarding system follows a structured six-stage workflow. Each stage contributes to the final marketplace readiness percentage.</w:t>
      </w:r>
    </w:p>
    <w:tbl>
      <w:tblPr>
        <w:tblStyle w:val="TableGrid"/>
        <w:tblW w:type="auto" w:w="0"/>
        <w:tblLook w:firstColumn="1" w:firstRow="1" w:lastColumn="0" w:lastRow="0" w:noHBand="0" w:noVBand="1" w:val="04A0"/>
      </w:tblPr>
      <w:tblGrid>
        <w:gridCol w:w="4320"/>
        <w:gridCol w:w="4320"/>
      </w:tblGrid>
      <w:tr>
        <w:tc>
          <w:tcPr>
            <w:tcW w:type="dxa" w:w="4320"/>
          </w:tcPr>
          <w:p>
            <w:r>
              <w:t>Workflow Stage</w:t>
            </w:r>
          </w:p>
        </w:tc>
        <w:tc>
          <w:tcPr>
            <w:tcW w:type="dxa" w:w="4320"/>
          </w:tcPr>
          <w:p>
            <w:r>
              <w:t>Operational Purpose</w:t>
            </w:r>
          </w:p>
        </w:tc>
      </w:tr>
      <w:tr>
        <w:tc>
          <w:tcPr>
            <w:tcW w:type="dxa" w:w="4320"/>
          </w:tcPr>
          <w:p>
            <w:r>
              <w:t>Start Screen</w:t>
            </w:r>
          </w:p>
        </w:tc>
        <w:tc>
          <w:tcPr>
            <w:tcW w:type="dxa" w:w="4320"/>
          </w:tcPr>
          <w:p>
            <w:r>
              <w:t>Core title identity and IMDb reference collection</w:t>
            </w:r>
          </w:p>
        </w:tc>
      </w:tr>
      <w:tr>
        <w:tc>
          <w:tcPr>
            <w:tcW w:type="dxa" w:w="4320"/>
          </w:tcPr>
          <w:p>
            <w:r>
              <w:t>Metadata Screen</w:t>
            </w:r>
          </w:p>
        </w:tc>
        <w:tc>
          <w:tcPr>
            <w:tcW w:type="dxa" w:w="4320"/>
          </w:tcPr>
          <w:p>
            <w:r>
              <w:t>Synopsis, genre, language, and runtime validation</w:t>
            </w:r>
          </w:p>
        </w:tc>
      </w:tr>
      <w:tr>
        <w:tc>
          <w:tcPr>
            <w:tcW w:type="dxa" w:w="4320"/>
          </w:tcPr>
          <w:p>
            <w:r>
              <w:t>Credits Screen</w:t>
            </w:r>
          </w:p>
        </w:tc>
        <w:tc>
          <w:tcPr>
            <w:tcW w:type="dxa" w:w="4320"/>
          </w:tcPr>
          <w:p>
            <w:r>
              <w:t>Director, cast, producer, and writer verification</w:t>
            </w:r>
          </w:p>
        </w:tc>
      </w:tr>
      <w:tr>
        <w:tc>
          <w:tcPr>
            <w:tcW w:type="dxa" w:w="4320"/>
          </w:tcPr>
          <w:p>
            <w:r>
              <w:t>Assets Screen</w:t>
            </w:r>
          </w:p>
        </w:tc>
        <w:tc>
          <w:tcPr>
            <w:tcW w:type="dxa" w:w="4320"/>
          </w:tcPr>
          <w:p>
            <w:r>
              <w:t>Poster, trailer, banner, and subtitle upload checks</w:t>
            </w:r>
          </w:p>
        </w:tc>
      </w:tr>
      <w:tr>
        <w:tc>
          <w:tcPr>
            <w:tcW w:type="dxa" w:w="4320"/>
          </w:tcPr>
          <w:p>
            <w:r>
              <w:t>Rights Screen</w:t>
            </w:r>
          </w:p>
        </w:tc>
        <w:tc>
          <w:tcPr>
            <w:tcW w:type="dxa" w:w="4320"/>
          </w:tcPr>
          <w:p>
            <w:r>
              <w:t>Territory, licensing term, and exclusivity validation</w:t>
            </w:r>
          </w:p>
        </w:tc>
      </w:tr>
      <w:tr>
        <w:tc>
          <w:tcPr>
            <w:tcW w:type="dxa" w:w="4320"/>
          </w:tcPr>
          <w:p>
            <w:r>
              <w:t>Review Screen</w:t>
            </w:r>
          </w:p>
        </w:tc>
        <w:tc>
          <w:tcPr>
            <w:tcW w:type="dxa" w:w="4320"/>
          </w:tcPr>
          <w:p>
            <w:r>
              <w:t>Final compliance checks and publishing readiness</w:t>
            </w:r>
          </w:p>
        </w:tc>
      </w:tr>
    </w:tbl>
    <w:p>
      <w:pPr>
        <w:pStyle w:val="Heading1"/>
      </w:pPr>
      <w:r>
        <w:t>4. Metadata Summary Validation</w:t>
      </w:r>
    </w:p>
    <w:p>
      <w:r>
        <w:t>During the review stage, the platform automatically generates a metadata summary panel containing all commercially important information associated with the title.</w:t>
      </w:r>
    </w:p>
    <w:tbl>
      <w:tblPr>
        <w:tblStyle w:val="TableGrid"/>
        <w:tblW w:type="auto" w:w="0"/>
        <w:tblLook w:firstColumn="1" w:firstRow="1" w:lastColumn="0" w:lastRow="0" w:noHBand="0" w:noVBand="1" w:val="04A0"/>
      </w:tblPr>
      <w:tblGrid>
        <w:gridCol w:w="2880"/>
        <w:gridCol w:w="2880"/>
        <w:gridCol w:w="2880"/>
      </w:tblGrid>
      <w:tr>
        <w:tc>
          <w:tcPr>
            <w:tcW w:type="dxa" w:w="2880"/>
          </w:tcPr>
          <w:p>
            <w:r>
              <w:t>Validation Field</w:t>
            </w:r>
          </w:p>
        </w:tc>
        <w:tc>
          <w:tcPr>
            <w:tcW w:type="dxa" w:w="2880"/>
          </w:tcPr>
          <w:p>
            <w:r>
              <w:t>Operational Importance</w:t>
            </w:r>
          </w:p>
        </w:tc>
        <w:tc>
          <w:tcPr>
            <w:tcW w:type="dxa" w:w="2880"/>
          </w:tcPr>
          <w:p>
            <w:r>
              <w:t>Marketplace Impact</w:t>
            </w:r>
          </w:p>
        </w:tc>
      </w:tr>
      <w:tr>
        <w:tc>
          <w:tcPr>
            <w:tcW w:type="dxa" w:w="2880"/>
          </w:tcPr>
          <w:p>
            <w:r>
              <w:t>Title</w:t>
            </w:r>
          </w:p>
        </w:tc>
        <w:tc>
          <w:tcPr>
            <w:tcW w:type="dxa" w:w="2880"/>
          </w:tcPr>
          <w:p>
            <w:r>
              <w:t>Primary marketplace identity</w:t>
            </w:r>
          </w:p>
        </w:tc>
        <w:tc>
          <w:tcPr>
            <w:tcW w:type="dxa" w:w="2880"/>
          </w:tcPr>
          <w:p>
            <w:r>
              <w:t>Supports catalog discoverability</w:t>
            </w:r>
          </w:p>
        </w:tc>
      </w:tr>
      <w:tr>
        <w:tc>
          <w:tcPr>
            <w:tcW w:type="dxa" w:w="2880"/>
          </w:tcPr>
          <w:p>
            <w:r>
              <w:t>Type</w:t>
            </w:r>
          </w:p>
        </w:tc>
        <w:tc>
          <w:tcPr>
            <w:tcW w:type="dxa" w:w="2880"/>
          </w:tcPr>
          <w:p>
            <w:r>
              <w:t>Content classification</w:t>
            </w:r>
          </w:p>
        </w:tc>
        <w:tc>
          <w:tcPr>
            <w:tcW w:type="dxa" w:w="2880"/>
          </w:tcPr>
          <w:p>
            <w:r>
              <w:t>Determines distribution workflows</w:t>
            </w:r>
          </w:p>
        </w:tc>
      </w:tr>
      <w:tr>
        <w:tc>
          <w:tcPr>
            <w:tcW w:type="dxa" w:w="2880"/>
          </w:tcPr>
          <w:p>
            <w:r>
              <w:t>Genres</w:t>
            </w:r>
          </w:p>
        </w:tc>
        <w:tc>
          <w:tcPr>
            <w:tcW w:type="dxa" w:w="2880"/>
          </w:tcPr>
          <w:p>
            <w:r>
              <w:t>Recommendation filtering</w:t>
            </w:r>
          </w:p>
        </w:tc>
        <w:tc>
          <w:tcPr>
            <w:tcW w:type="dxa" w:w="2880"/>
          </w:tcPr>
          <w:p>
            <w:r>
              <w:t>Improves buyer targeting</w:t>
            </w:r>
          </w:p>
        </w:tc>
      </w:tr>
      <w:tr>
        <w:tc>
          <w:tcPr>
            <w:tcW w:type="dxa" w:w="2880"/>
          </w:tcPr>
          <w:p>
            <w:r>
              <w:t>Language</w:t>
            </w:r>
          </w:p>
        </w:tc>
        <w:tc>
          <w:tcPr>
            <w:tcW w:type="dxa" w:w="2880"/>
          </w:tcPr>
          <w:p>
            <w:r>
              <w:t>Regional licensing compatibility</w:t>
            </w:r>
          </w:p>
        </w:tc>
        <w:tc>
          <w:tcPr>
            <w:tcW w:type="dxa" w:w="2880"/>
          </w:tcPr>
          <w:p>
            <w:r>
              <w:t>Supports territory discovery</w:t>
            </w:r>
          </w:p>
        </w:tc>
      </w:tr>
      <w:tr>
        <w:tc>
          <w:tcPr>
            <w:tcW w:type="dxa" w:w="2880"/>
          </w:tcPr>
          <w:p>
            <w:r>
              <w:t>Release Period</w:t>
            </w:r>
          </w:p>
        </w:tc>
        <w:tc>
          <w:tcPr>
            <w:tcW w:type="dxa" w:w="2880"/>
          </w:tcPr>
          <w:p>
            <w:r>
              <w:t>Commercial positioning</w:t>
            </w:r>
          </w:p>
        </w:tc>
        <w:tc>
          <w:tcPr>
            <w:tcW w:type="dxa" w:w="2880"/>
          </w:tcPr>
          <w:p>
            <w:r>
              <w:t>Improves recommendation ranking</w:t>
            </w:r>
          </w:p>
        </w:tc>
      </w:tr>
    </w:tbl>
    <w:p>
      <w:pPr>
        <w:pStyle w:val="Heading1"/>
      </w:pPr>
      <w:r>
        <w:t>5. Assets &amp; Marketability Review</w:t>
      </w:r>
    </w:p>
    <w:p>
      <w:r>
        <w:t>The platform evaluates promotional assets and commercial positioning data before allowing marketplace publication. Strong visual assets increase buyer engagement, watch intent, recommendation visibility, and professional presentation quality.</w:t>
      </w:r>
    </w:p>
    <w:p>
      <w:pPr>
        <w:pStyle w:val="ListBullet"/>
      </w:pPr>
      <w:r>
        <w:t>Poster artwork is mandatory for marketplace publication</w:t>
      </w:r>
    </w:p>
    <w:p>
      <w:pPr>
        <w:pStyle w:val="ListBullet"/>
      </w:pPr>
      <w:r>
        <w:t>Trailer uploads improve buyer engagement and viewing interest</w:t>
      </w:r>
    </w:p>
    <w:p>
      <w:pPr>
        <w:pStyle w:val="ListBullet"/>
      </w:pPr>
      <w:r>
        <w:t>Banner assets support premium placement eligibility</w:t>
      </w:r>
    </w:p>
    <w:p>
      <w:pPr>
        <w:pStyle w:val="ListBullet"/>
      </w:pPr>
      <w:r>
        <w:t>Subtitle files improve international licensing readiness</w:t>
      </w:r>
    </w:p>
    <w:p>
      <w:pPr>
        <w:pStyle w:val="ListBullet"/>
      </w:pPr>
      <w:r>
        <w:t>Commercial positioning metadata influences recommendation ranking</w:t>
      </w:r>
    </w:p>
    <w:p>
      <w:pPr>
        <w:pStyle w:val="ListBullet"/>
      </w:pPr>
      <w:r>
        <w:t>Awards and platform history increase marketplace attractiveness</w:t>
      </w:r>
    </w:p>
    <w:p>
      <w:pPr>
        <w:pStyle w:val="Heading1"/>
      </w:pPr>
      <w:r>
        <w:t>6. Credits Summary Verification</w:t>
      </w:r>
    </w:p>
    <w:p>
      <w:r>
        <w:t>The Credits Summary module validates the creative and commercial personnel associated with the title. Talent metadata directly influences buyer trust, marketability scoring, and discoverability.</w:t>
      </w:r>
    </w:p>
    <w:tbl>
      <w:tblPr>
        <w:tblStyle w:val="TableGrid"/>
        <w:tblW w:type="auto" w:w="0"/>
        <w:tblLook w:firstColumn="1" w:firstRow="1" w:lastColumn="0" w:lastRow="0" w:noHBand="0" w:noVBand="1" w:val="04A0"/>
      </w:tblPr>
      <w:tblGrid>
        <w:gridCol w:w="2880"/>
        <w:gridCol w:w="2880"/>
        <w:gridCol w:w="2880"/>
      </w:tblGrid>
      <w:tr>
        <w:tc>
          <w:tcPr>
            <w:tcW w:type="dxa" w:w="2880"/>
          </w:tcPr>
          <w:p>
            <w:r>
              <w:t>Credit Type</w:t>
            </w:r>
          </w:p>
        </w:tc>
        <w:tc>
          <w:tcPr>
            <w:tcW w:type="dxa" w:w="2880"/>
          </w:tcPr>
          <w:p>
            <w:r>
              <w:t>Marketplace Importance</w:t>
            </w:r>
          </w:p>
        </w:tc>
        <w:tc>
          <w:tcPr>
            <w:tcW w:type="dxa" w:w="2880"/>
          </w:tcPr>
          <w:p>
            <w:r>
              <w:t>Commercial Impact</w:t>
            </w:r>
          </w:p>
        </w:tc>
      </w:tr>
      <w:tr>
        <w:tc>
          <w:tcPr>
            <w:tcW w:type="dxa" w:w="2880"/>
          </w:tcPr>
          <w:p>
            <w:r>
              <w:t>Directors</w:t>
            </w:r>
          </w:p>
        </w:tc>
        <w:tc>
          <w:tcPr>
            <w:tcW w:type="dxa" w:w="2880"/>
          </w:tcPr>
          <w:p>
            <w:r>
              <w:t>Mandatory</w:t>
            </w:r>
          </w:p>
        </w:tc>
        <w:tc>
          <w:tcPr>
            <w:tcW w:type="dxa" w:w="2880"/>
          </w:tcPr>
          <w:p>
            <w:r>
              <w:t>Required for submission approval</w:t>
            </w:r>
          </w:p>
        </w:tc>
      </w:tr>
      <w:tr>
        <w:tc>
          <w:tcPr>
            <w:tcW w:type="dxa" w:w="2880"/>
          </w:tcPr>
          <w:p>
            <w:r>
              <w:t>Producers</w:t>
            </w:r>
          </w:p>
        </w:tc>
        <w:tc>
          <w:tcPr>
            <w:tcW w:type="dxa" w:w="2880"/>
          </w:tcPr>
          <w:p>
            <w:r>
              <w:t>Medium</w:t>
            </w:r>
          </w:p>
        </w:tc>
        <w:tc>
          <w:tcPr>
            <w:tcW w:type="dxa" w:w="2880"/>
          </w:tcPr>
          <w:p>
            <w:r>
              <w:t>Supports financing credibility</w:t>
            </w:r>
          </w:p>
        </w:tc>
      </w:tr>
      <w:tr>
        <w:tc>
          <w:tcPr>
            <w:tcW w:type="dxa" w:w="2880"/>
          </w:tcPr>
          <w:p>
            <w:r>
              <w:t>Writers</w:t>
            </w:r>
          </w:p>
        </w:tc>
        <w:tc>
          <w:tcPr>
            <w:tcW w:type="dxa" w:w="2880"/>
          </w:tcPr>
          <w:p>
            <w:r>
              <w:t>Medium</w:t>
            </w:r>
          </w:p>
        </w:tc>
        <w:tc>
          <w:tcPr>
            <w:tcW w:type="dxa" w:w="2880"/>
          </w:tcPr>
          <w:p>
            <w:r>
              <w:t>Improves metadata completeness</w:t>
            </w:r>
          </w:p>
        </w:tc>
      </w:tr>
      <w:tr>
        <w:tc>
          <w:tcPr>
            <w:tcW w:type="dxa" w:w="2880"/>
          </w:tcPr>
          <w:p>
            <w:r>
              <w:t>Cast Members</w:t>
            </w:r>
          </w:p>
        </w:tc>
        <w:tc>
          <w:tcPr>
            <w:tcW w:type="dxa" w:w="2880"/>
          </w:tcPr>
          <w:p>
            <w:r>
              <w:t>High</w:t>
            </w:r>
          </w:p>
        </w:tc>
        <w:tc>
          <w:tcPr>
            <w:tcW w:type="dxa" w:w="2880"/>
          </w:tcPr>
          <w:p>
            <w:r>
              <w:t>Improves commercial discoverability</w:t>
            </w:r>
          </w:p>
        </w:tc>
      </w:tr>
    </w:tbl>
    <w:p>
      <w:pPr>
        <w:pStyle w:val="Heading1"/>
      </w:pPr>
      <w:r>
        <w:t>7. Rights Configuration Review</w:t>
      </w:r>
    </w:p>
    <w:p>
      <w:r>
        <w:t>All licensing structures undergo automated validation before publication. The Rights Configuration panel confirms whether the title is legally clear for marketplace licensing and territory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Rights Parameter</w:t>
            </w:r>
          </w:p>
        </w:tc>
        <w:tc>
          <w:tcPr>
            <w:tcW w:type="dxa" w:w="2880"/>
          </w:tcPr>
          <w:p>
            <w:r>
              <w:t>Example Validation Logic</w:t>
            </w:r>
          </w:p>
        </w:tc>
        <w:tc>
          <w:tcPr>
            <w:tcW w:type="dxa" w:w="2880"/>
          </w:tcPr>
          <w:p>
            <w:r>
              <w:t>Operational Impact</w:t>
            </w:r>
          </w:p>
        </w:tc>
      </w:tr>
      <w:tr>
        <w:tc>
          <w:tcPr>
            <w:tcW w:type="dxa" w:w="2880"/>
          </w:tcPr>
          <w:p>
            <w:r>
              <w:t>Available Rights</w:t>
            </w:r>
          </w:p>
        </w:tc>
        <w:tc>
          <w:tcPr>
            <w:tcW w:type="dxa" w:w="2880"/>
          </w:tcPr>
          <w:p>
            <w:r>
              <w:t>Checks overlapping exclusivity conflicts</w:t>
            </w:r>
          </w:p>
        </w:tc>
        <w:tc>
          <w:tcPr>
            <w:tcW w:type="dxa" w:w="2880"/>
          </w:tcPr>
          <w:p>
            <w:r>
              <w:t>Prevents double licensing</w:t>
            </w:r>
          </w:p>
        </w:tc>
      </w:tr>
      <w:tr>
        <w:tc>
          <w:tcPr>
            <w:tcW w:type="dxa" w:w="2880"/>
          </w:tcPr>
          <w:p>
            <w:r>
              <w:t>Target Regions</w:t>
            </w:r>
          </w:p>
        </w:tc>
        <w:tc>
          <w:tcPr>
            <w:tcW w:type="dxa" w:w="2880"/>
          </w:tcPr>
          <w:p>
            <w:r>
              <w:t>Validates territory clearances</w:t>
            </w:r>
          </w:p>
        </w:tc>
        <w:tc>
          <w:tcPr>
            <w:tcW w:type="dxa" w:w="2880"/>
          </w:tcPr>
          <w:p>
            <w:r>
              <w:t>Protects regional legality</w:t>
            </w:r>
          </w:p>
        </w:tc>
      </w:tr>
      <w:tr>
        <w:tc>
          <w:tcPr>
            <w:tcW w:type="dxa" w:w="2880"/>
          </w:tcPr>
          <w:p>
            <w:r>
              <w:t>License Duration</w:t>
            </w:r>
          </w:p>
        </w:tc>
        <w:tc>
          <w:tcPr>
            <w:tcW w:type="dxa" w:w="2880"/>
          </w:tcPr>
          <w:p>
            <w:r>
              <w:t>Checks expiration compatibility</w:t>
            </w:r>
          </w:p>
        </w:tc>
        <w:tc>
          <w:tcPr>
            <w:tcW w:type="dxa" w:w="2880"/>
          </w:tcPr>
          <w:p>
            <w:r>
              <w:t>Avoids invalid contracts</w:t>
            </w:r>
          </w:p>
        </w:tc>
      </w:tr>
      <w:tr>
        <w:tc>
          <w:tcPr>
            <w:tcW w:type="dxa" w:w="2880"/>
          </w:tcPr>
          <w:p>
            <w:r>
              <w:t>Exclusivity</w:t>
            </w:r>
          </w:p>
        </w:tc>
        <w:tc>
          <w:tcPr>
            <w:tcW w:type="dxa" w:w="2880"/>
          </w:tcPr>
          <w:p>
            <w:r>
              <w:t>Blocks duplicate licensing conflicts</w:t>
            </w:r>
          </w:p>
        </w:tc>
        <w:tc>
          <w:tcPr>
            <w:tcW w:type="dxa" w:w="2880"/>
          </w:tcPr>
          <w:p>
            <w:r>
              <w:t>Protects premium rights</w:t>
            </w:r>
          </w:p>
        </w:tc>
      </w:tr>
      <w:tr>
        <w:tc>
          <w:tcPr>
            <w:tcW w:type="dxa" w:w="2880"/>
          </w:tcPr>
          <w:p>
            <w:r>
              <w:t>Dubbing Rights</w:t>
            </w:r>
          </w:p>
        </w:tc>
        <w:tc>
          <w:tcPr>
            <w:tcW w:type="dxa" w:w="2880"/>
          </w:tcPr>
          <w:p>
            <w:r>
              <w:t>Requires seller localization approval</w:t>
            </w:r>
          </w:p>
        </w:tc>
        <w:tc>
          <w:tcPr>
            <w:tcW w:type="dxa" w:w="2880"/>
          </w:tcPr>
          <w:p>
            <w:r>
              <w:t>Controls localization legality</w:t>
            </w:r>
          </w:p>
        </w:tc>
      </w:tr>
    </w:tbl>
    <w:p>
      <w:pPr>
        <w:pStyle w:val="Heading1"/>
      </w:pPr>
      <w:r>
        <w:t>8. Completion Progress &amp; Readiness Logic</w:t>
      </w:r>
    </w:p>
    <w:p>
      <w:r>
        <w:t>The completion tracker visually represents the submission readiness percentage. Each onboarding module contributes to the final marketplace eligibility score.</w:t>
      </w:r>
    </w:p>
    <w:p>
      <w:pPr>
        <w:pStyle w:val="ListNumber"/>
      </w:pPr>
      <w:r>
        <w:t>Incomplete sections reduce discoverability readiness</w:t>
      </w:r>
    </w:p>
    <w:p>
      <w:pPr>
        <w:pStyle w:val="ListNumber"/>
      </w:pPr>
      <w:r>
        <w:t>Rights validation must pass before submission approval</w:t>
      </w:r>
    </w:p>
    <w:p>
      <w:pPr>
        <w:pStyle w:val="ListNumber"/>
      </w:pPr>
      <w:r>
        <w:t>Missing posters automatically block marketplace publication</w:t>
      </w:r>
    </w:p>
    <w:p>
      <w:pPr>
        <w:pStyle w:val="ListNumber"/>
      </w:pPr>
      <w:r>
        <w:t>Critical metadata fields remain mandatory</w:t>
      </w:r>
    </w:p>
    <w:p>
      <w:pPr>
        <w:pStyle w:val="ListNumber"/>
      </w:pPr>
      <w:r>
        <w:t>Completion indicators update in real time</w:t>
      </w:r>
    </w:p>
    <w:p>
      <w:pPr>
        <w:pStyle w:val="ListNumber"/>
      </w:pPr>
      <w:r>
        <w:t>Moderation systems may trigger additional manual review</w:t>
      </w:r>
    </w:p>
    <w:p>
      <w:pPr>
        <w:pStyle w:val="ListNumber"/>
      </w:pPr>
      <w:r>
        <w:t>Marketplace publishing remains locked until all required validations pass</w:t>
      </w:r>
    </w:p>
    <w:p>
      <w:pPr>
        <w:pStyle w:val="Heading1"/>
      </w:pPr>
      <w:r>
        <w:t>9. Marketplace Publishing Rules</w:t>
      </w:r>
    </w:p>
    <w:p>
      <w:r>
        <w:t>Titles may only proceed to marketplace publication after all compliance, rights, metadata, and operational validation checks are successfully completed.</w:t>
      </w:r>
    </w:p>
    <w:p>
      <w:pPr>
        <w:pStyle w:val="ListBullet"/>
      </w:pPr>
      <w:r>
        <w:t>Rights conflicts automatically prevent publication</w:t>
      </w:r>
    </w:p>
    <w:p>
      <w:pPr>
        <w:pStyle w:val="ListBullet"/>
      </w:pPr>
      <w:r>
        <w:t>Expired licensing windows are rejected</w:t>
      </w:r>
    </w:p>
    <w:p>
      <w:pPr>
        <w:pStyle w:val="ListBullet"/>
      </w:pPr>
      <w:r>
        <w:t>Duplicate title submissions are blocked</w:t>
      </w:r>
    </w:p>
    <w:p>
      <w:pPr>
        <w:pStyle w:val="ListBullet"/>
      </w:pPr>
      <w:r>
        <w:t>Incomplete metadata lowers approval priority</w:t>
      </w:r>
    </w:p>
    <w:p>
      <w:pPr>
        <w:pStyle w:val="ListBullet"/>
      </w:pPr>
      <w:r>
        <w:t>Moderation systems may request manual review</w:t>
      </w:r>
    </w:p>
    <w:p>
      <w:pPr>
        <w:pStyle w:val="ListBullet"/>
      </w:pPr>
      <w:r>
        <w:t>Improper asset formatting may trigger validation failure</w:t>
      </w:r>
    </w:p>
    <w:p>
      <w:pPr>
        <w:pStyle w:val="ListBullet"/>
      </w:pPr>
      <w:r>
        <w:t>Territory conflicts block licensing availability</w:t>
      </w:r>
    </w:p>
    <w:p>
      <w:pPr>
        <w:pStyle w:val="Heading1"/>
      </w:pPr>
      <w:r>
        <w:t>10. Dummy Review &amp; Submission Example</w:t>
      </w:r>
    </w:p>
    <w:tbl>
      <w:tblPr>
        <w:tblStyle w:val="TableGrid"/>
        <w:tblW w:type="auto" w:w="0"/>
        <w:tblLook w:firstColumn="1" w:firstRow="1" w:lastColumn="0" w:lastRow="0" w:noHBand="0" w:noVBand="1" w:val="04A0"/>
      </w:tblPr>
      <w:tblGrid>
        <w:gridCol w:w="4320"/>
        <w:gridCol w:w="4320"/>
      </w:tblGrid>
      <w:tr>
        <w:tc>
          <w:tcPr>
            <w:tcW w:type="dxa" w:w="4320"/>
          </w:tcPr>
          <w:p>
            <w:r>
              <w:t>Submission Field</w:t>
            </w:r>
          </w:p>
        </w:tc>
        <w:tc>
          <w:tcPr>
            <w:tcW w:type="dxa" w:w="4320"/>
          </w:tcPr>
          <w:p>
            <w:r>
              <w:t>Dummy Example</w:t>
            </w:r>
          </w:p>
        </w:tc>
      </w:tr>
      <w:tr>
        <w:tc>
          <w:tcPr>
            <w:tcW w:type="dxa" w:w="4320"/>
          </w:tcPr>
          <w:p>
            <w:r>
              <w:t>Title</w:t>
            </w:r>
          </w:p>
        </w:tc>
        <w:tc>
          <w:tcPr>
            <w:tcW w:type="dxa" w:w="4320"/>
          </w:tcPr>
          <w:p>
            <w:r>
              <w:t>The Last Signal</w:t>
            </w:r>
          </w:p>
        </w:tc>
      </w:tr>
      <w:tr>
        <w:tc>
          <w:tcPr>
            <w:tcW w:type="dxa" w:w="4320"/>
          </w:tcPr>
          <w:p>
            <w:r>
              <w:t>Genre</w:t>
            </w:r>
          </w:p>
        </w:tc>
        <w:tc>
          <w:tcPr>
            <w:tcW w:type="dxa" w:w="4320"/>
          </w:tcPr>
          <w:p>
            <w:r>
              <w:t>Sci‑Fi Thriller</w:t>
            </w:r>
          </w:p>
        </w:tc>
      </w:tr>
      <w:tr>
        <w:tc>
          <w:tcPr>
            <w:tcW w:type="dxa" w:w="4320"/>
          </w:tcPr>
          <w:p>
            <w:r>
              <w:t>Language</w:t>
            </w:r>
          </w:p>
        </w:tc>
        <w:tc>
          <w:tcPr>
            <w:tcW w:type="dxa" w:w="4320"/>
          </w:tcPr>
          <w:p>
            <w:r>
              <w:t>English</w:t>
            </w:r>
          </w:p>
        </w:tc>
      </w:tr>
      <w:tr>
        <w:tc>
          <w:tcPr>
            <w:tcW w:type="dxa" w:w="4320"/>
          </w:tcPr>
          <w:p>
            <w:r>
              <w:t>Poster Status</w:t>
            </w:r>
          </w:p>
        </w:tc>
        <w:tc>
          <w:tcPr>
            <w:tcW w:type="dxa" w:w="4320"/>
          </w:tcPr>
          <w:p>
            <w:r>
              <w:t>Uploaded</w:t>
            </w:r>
          </w:p>
        </w:tc>
      </w:tr>
      <w:tr>
        <w:tc>
          <w:tcPr>
            <w:tcW w:type="dxa" w:w="4320"/>
          </w:tcPr>
          <w:p>
            <w:r>
              <w:t>Trailer Status</w:t>
            </w:r>
          </w:p>
        </w:tc>
        <w:tc>
          <w:tcPr>
            <w:tcW w:type="dxa" w:w="4320"/>
          </w:tcPr>
          <w:p>
            <w:r>
              <w:t>Uploaded</w:t>
            </w:r>
          </w:p>
        </w:tc>
      </w:tr>
      <w:tr>
        <w:tc>
          <w:tcPr>
            <w:tcW w:type="dxa" w:w="4320"/>
          </w:tcPr>
          <w:p>
            <w:r>
              <w:t>Rights Package</w:t>
            </w:r>
          </w:p>
        </w:tc>
        <w:tc>
          <w:tcPr>
            <w:tcW w:type="dxa" w:w="4320"/>
          </w:tcPr>
          <w:p>
            <w:r>
              <w:t>Exclusive SVOD Rights</w:t>
            </w:r>
          </w:p>
        </w:tc>
      </w:tr>
      <w:tr>
        <w:tc>
          <w:tcPr>
            <w:tcW w:type="dxa" w:w="4320"/>
          </w:tcPr>
          <w:p>
            <w:r>
              <w:t>Territories</w:t>
            </w:r>
          </w:p>
        </w:tc>
        <w:tc>
          <w:tcPr>
            <w:tcW w:type="dxa" w:w="4320"/>
          </w:tcPr>
          <w:p>
            <w:r>
              <w:t>Worldwide excluding China</w:t>
            </w:r>
          </w:p>
        </w:tc>
      </w:tr>
      <w:tr>
        <w:tc>
          <w:tcPr>
            <w:tcW w:type="dxa" w:w="4320"/>
          </w:tcPr>
          <w:p>
            <w:r>
              <w:t>Submission Readiness</w:t>
            </w:r>
          </w:p>
        </w:tc>
        <w:tc>
          <w:tcPr>
            <w:tcW w:type="dxa" w:w="4320"/>
          </w:tcPr>
          <w:p>
            <w:r>
              <w:t>100% Complete</w:t>
            </w:r>
          </w:p>
        </w:tc>
      </w:tr>
    </w:tbl>
    <w:p>
      <w:pPr>
        <w:pStyle w:val="Heading1"/>
      </w:pPr>
      <w:r>
        <w:t>11. Final Marketplace Readiness Philosophy</w:t>
      </w:r>
    </w:p>
    <w:p>
      <w:r>
        <w:t>Marketplace readiness is not determined solely by metadata completion. The platform evaluates legal clarity, discoverability quality, commercial presentation, territory compliance, localization readiness, and buyer-facing professionalism before allowing publication.</w:t>
      </w:r>
    </w:p>
    <w:p>
      <w:r>
        <w:t>Titles that maintain complete metadata, strong promotional assets, validated rights configurations, and professional commercial positioning generally receive stronger recommendation visibility and improved licensing engagement.</w:t>
      </w:r>
    </w:p>
    <w:p>
      <w:pPr>
        <w:pStyle w:val="Heading1"/>
      </w:pPr>
      <w:r>
        <w:t>12. Internal Training Notes</w:t>
      </w:r>
    </w:p>
    <w:p>
      <w:r>
        <w:t>This document is intended solely for internal onboarding and workflow training purposes. All titles, metadata structures, licensing examples, commercial positioning data, and rights configurations used throughout this document are fictional and created strictly for simulated marketplace education.</w:t>
      </w:r>
    </w:p>
    <w:p>
      <w:r>
        <w:t>Interns reviewing this workflow should understand how marketplace readiness directly impacts discoverability, licensing opportunities, buyer confidence, recommendation systems, and operational approval pipelines.</w:t>
      </w:r>
    </w:p>
    <w:p>
      <w:pPr>
        <w:jc w:val="center"/>
      </w:pPr>
      <w:r>
        <w:rPr>
          <w:b/>
        </w:rPr>
        <w:br/>
        <w:t>CONFIDENTIAL — MEDIASHIPPERS INTERNAL TRAINING &amp; MARKETPLACE REVIEW OPERATIONS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