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Mediashippers Marketplace</w:t>
      </w:r>
    </w:p>
    <w:p>
      <w:pPr>
        <w:jc w:val="center"/>
      </w:pPr>
      <w:r>
        <w:rPr>
          <w:b/>
          <w:sz w:val="40"/>
        </w:rPr>
        <w:t>Internal Marketplace Operations Documentation</w:t>
        <w:br/>
      </w:r>
      <w:r>
        <w:rPr>
          <w:sz w:val="32"/>
        </w:rPr>
        <w:t>STEP 5 — RIGHTS, TERRITORIES &amp; LICENSING STANDARDS</w:t>
      </w:r>
    </w:p>
    <w:p/>
    <w:p>
      <w:pPr>
        <w:pStyle w:val="Heading1"/>
      </w:pPr>
      <w:r>
        <w:t>1. Purpose &amp; Core Philosophy</w:t>
      </w:r>
    </w:p>
    <w:p>
      <w:r>
        <w:t>The Rights &amp; Territories workflow is one of the most critical stages of the Mediashippers licensing ecosystem. This module defines where, how, and under what conditions a title may legally be distributed, streamed, broadcasted, localized, or monetized across different regions and platforms.</w:t>
      </w:r>
    </w:p>
    <w:p>
      <w:r>
        <w:t>Every rights configuration entered into the marketplace is validated against territory restrictions, exclusivity rules, licensing durations, and conflict detection systems. These standards help prevent legal disputes, overlapping licenses, and unauthorized regional distribution.</w:t>
      </w:r>
    </w:p>
    <w:p>
      <w:pPr>
        <w:pStyle w:val="Heading1"/>
      </w:pPr>
      <w:r>
        <w:t>2. Rights Management Philosophy</w:t>
      </w:r>
    </w:p>
    <w:p>
      <w:pPr>
        <w:pStyle w:val="ListBullet"/>
      </w:pPr>
      <w:r>
        <w:t>Prevent overlapping exclusive licensing conflicts</w:t>
      </w:r>
    </w:p>
    <w:p>
      <w:pPr>
        <w:pStyle w:val="ListBullet"/>
      </w:pPr>
      <w:r>
        <w:t>Protect both buyers and sellers during negotiations</w:t>
      </w:r>
    </w:p>
    <w:p>
      <w:pPr>
        <w:pStyle w:val="ListBullet"/>
      </w:pPr>
      <w:r>
        <w:t>Support global territory-based licensing workflows</w:t>
      </w:r>
    </w:p>
    <w:p>
      <w:pPr>
        <w:pStyle w:val="ListBullet"/>
      </w:pPr>
      <w:r>
        <w:t>Enable secure regional content distribution</w:t>
      </w:r>
    </w:p>
    <w:p>
      <w:pPr>
        <w:pStyle w:val="ListBullet"/>
      </w:pPr>
      <w:r>
        <w:t>Standardize licensing structures across all marketplace deals</w:t>
      </w:r>
    </w:p>
    <w:p>
      <w:pPr>
        <w:pStyle w:val="ListBullet"/>
      </w:pPr>
      <w:r>
        <w:t>Support automated validation and compliance systems</w:t>
      </w:r>
    </w:p>
    <w:p>
      <w:pPr>
        <w:pStyle w:val="Heading1"/>
      </w:pPr>
      <w:r>
        <w:t>3. Exclusivity Models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Rights Type</w:t>
            </w:r>
          </w:p>
        </w:tc>
        <w:tc>
          <w:tcPr>
            <w:tcW w:type="dxa" w:w="2160"/>
          </w:tcPr>
          <w:p>
            <w:r>
              <w:t>Description</w:t>
            </w:r>
          </w:p>
        </w:tc>
        <w:tc>
          <w:tcPr>
            <w:tcW w:type="dxa" w:w="2160"/>
          </w:tcPr>
          <w:p>
            <w:r>
              <w:t>Business Impact</w:t>
            </w:r>
          </w:p>
        </w:tc>
        <w:tc>
          <w:tcPr>
            <w:tcW w:type="dxa" w:w="2160"/>
          </w:tcPr>
          <w:p>
            <w:r>
              <w:t>Example</w:t>
            </w:r>
          </w:p>
        </w:tc>
      </w:tr>
      <w:tr>
        <w:tc>
          <w:tcPr>
            <w:tcW w:type="dxa" w:w="2160"/>
          </w:tcPr>
          <w:p>
            <w:r>
              <w:t>Exclusive Rights</w:t>
            </w:r>
          </w:p>
        </w:tc>
        <w:tc>
          <w:tcPr>
            <w:tcW w:type="dxa" w:w="2160"/>
          </w:tcPr>
          <w:p>
            <w:r>
              <w:t>Only one buyer may distribute the title within approved territories during the licensing term.</w:t>
            </w:r>
          </w:p>
        </w:tc>
        <w:tc>
          <w:tcPr>
            <w:tcW w:type="dxa" w:w="2160"/>
          </w:tcPr>
          <w:p>
            <w:r>
              <w:t>Creates premium licensing value and restricts competing distributors.</w:t>
            </w:r>
          </w:p>
        </w:tc>
        <w:tc>
          <w:tcPr>
            <w:tcW w:type="dxa" w:w="2160"/>
          </w:tcPr>
          <w:p>
            <w:r>
              <w:t>Exclusive SVOD rights in the UK.</w:t>
            </w:r>
          </w:p>
        </w:tc>
      </w:tr>
      <w:tr>
        <w:tc>
          <w:tcPr>
            <w:tcW w:type="dxa" w:w="2160"/>
          </w:tcPr>
          <w:p>
            <w:r>
              <w:t>Non‑Exclusive Rights</w:t>
            </w:r>
          </w:p>
        </w:tc>
        <w:tc>
          <w:tcPr>
            <w:tcW w:type="dxa" w:w="2160"/>
          </w:tcPr>
          <w:p>
            <w:r>
              <w:t>Multiple buyers may distribute the same title simultaneously.</w:t>
            </w:r>
          </w:p>
        </w:tc>
        <w:tc>
          <w:tcPr>
            <w:tcW w:type="dxa" w:w="2160"/>
          </w:tcPr>
          <w:p>
            <w:r>
              <w:t>Improves monetization reach and syndication opportunities.</w:t>
            </w:r>
          </w:p>
        </w:tc>
        <w:tc>
          <w:tcPr>
            <w:tcW w:type="dxa" w:w="2160"/>
          </w:tcPr>
          <w:p>
            <w:r>
              <w:t>FAST channel syndication across multiple services.</w:t>
            </w:r>
          </w:p>
        </w:tc>
      </w:tr>
      <w:tr>
        <w:tc>
          <w:tcPr>
            <w:tcW w:type="dxa" w:w="2160"/>
          </w:tcPr>
          <w:p>
            <w:r>
              <w:t>Hybrid Rights</w:t>
            </w:r>
          </w:p>
        </w:tc>
        <w:tc>
          <w:tcPr>
            <w:tcW w:type="dxa" w:w="2160"/>
          </w:tcPr>
          <w:p>
            <w:r>
              <w:t>Combination of exclusive and non‑exclusive structures across regions.</w:t>
            </w:r>
          </w:p>
        </w:tc>
        <w:tc>
          <w:tcPr>
            <w:tcW w:type="dxa" w:w="2160"/>
          </w:tcPr>
          <w:p>
            <w:r>
              <w:t>Allows strategic regional monetization flexibility.</w:t>
            </w:r>
          </w:p>
        </w:tc>
        <w:tc>
          <w:tcPr>
            <w:tcW w:type="dxa" w:w="2160"/>
          </w:tcPr>
          <w:p>
            <w:r>
              <w:t>Exclusive in North America, non‑exclusive in Europe.</w:t>
            </w:r>
          </w:p>
        </w:tc>
      </w:tr>
    </w:tbl>
    <w:p>
      <w:pPr>
        <w:pStyle w:val="Heading1"/>
      </w:pPr>
      <w:r>
        <w:t>4. Distribution Rights Explained</w:t>
      </w:r>
    </w:p>
    <w:p>
      <w:r>
        <w:t>The Mediashippers platform supports multiple categories of distribution rights. Each right defines how a buyer may commercially exploit a title after acquiring distribution permissions.</w:t>
      </w:r>
    </w:p>
    <w:p>
      <w:r>
        <w:rPr>
          <w:b/>
        </w:rPr>
        <w:t>SVOD Rights (Subscription Video on Demand)</w:t>
        <w:br/>
      </w:r>
      <w:r>
        <w:t>SVOD rights allow buyers to stream content on subscription-based platforms where users pay recurring monthly or yearly fees. These rights are commonly used by services such as Netflix, Prime Video, Disney+, and regional streaming platforms.</w:t>
      </w:r>
    </w:p>
    <w:p>
      <w:r>
        <w:rPr>
          <w:b/>
        </w:rPr>
        <w:t>AVOD Rights (Advertising Video on Demand)</w:t>
        <w:br/>
      </w:r>
      <w:r>
        <w:t>AVOD rights allow content monetization through advertising-supported streaming platforms. Users can access the content for free while advertisements generate revenue. Platforms such as YouTube, Tubi, and Pluto TV commonly operate under AVOD models.</w:t>
      </w:r>
    </w:p>
    <w:p>
      <w:r>
        <w:rPr>
          <w:b/>
        </w:rPr>
        <w:t>TV Rights</w:t>
        <w:br/>
      </w:r>
      <w:r>
        <w:t>TV rights allow content to be broadcast through traditional cable, satellite, or terrestrial television networks. These rights are commonly licensed to regional broadcasters and entertainment channels.</w:t>
      </w:r>
    </w:p>
    <w:p>
      <w:r>
        <w:rPr>
          <w:b/>
        </w:rPr>
        <w:t>FAST Rights (Free Ad‑Supported Streaming Television)</w:t>
        <w:br/>
      </w:r>
      <w:r>
        <w:t>FAST rights support linear streaming channels that operate similarly to traditional television but are delivered digitally and monetized through ads. These rights are increasingly important for smart TV ecosystems and connected streaming devices.</w:t>
      </w:r>
    </w:p>
    <w:p>
      <w:r>
        <w:rPr>
          <w:b/>
        </w:rPr>
        <w:t>Airline Rights</w:t>
        <w:br/>
      </w:r>
      <w:r>
        <w:t>Airline rights allow films and television content to be screened inside aircraft seat‑back entertainment systems. These rights are typically licensed separately from standard streaming and broadcast rights.</w:t>
      </w:r>
    </w:p>
    <w:p>
      <w:r>
        <w:rPr>
          <w:b/>
        </w:rPr>
        <w:t>Educational Rights</w:t>
        <w:br/>
      </w:r>
      <w:r>
        <w:t>Educational rights permit universities, libraries, institutions, and academic organizations to legally screen and use the content for educational purposes.</w:t>
      </w:r>
    </w:p>
    <w:p>
      <w:r>
        <w:rPr>
          <w:b/>
        </w:rPr>
        <w:t>Digital Rights</w:t>
        <w:br/>
      </w:r>
      <w:r>
        <w:t>Digital rights support online rentals, downloads, app‑based streaming, and electronic sell‑through marketplaces such as Apple TV, Google Play Movies, and regional OTT storefronts.</w:t>
      </w:r>
    </w:p>
    <w:p>
      <w:r>
        <w:rPr>
          <w:b/>
        </w:rPr>
        <w:t>Dubbing Rights</w:t>
        <w:br/>
      </w:r>
      <w:r>
        <w:t>Dubbing rights allow buyers to create localized audio versions of the title in different regional languages. These rights are negotiated independently from standard distribution permissions.</w:t>
      </w:r>
    </w:p>
    <w:p>
      <w:pPr>
        <w:pStyle w:val="Heading1"/>
      </w:pPr>
      <w:r>
        <w:t>5. Territory &amp; Geoblocking Standards</w:t>
      </w:r>
    </w:p>
    <w:p>
      <w:r>
        <w:t>Territory management defines where content may legally be distributed. All deals on the Mediashippers marketplace must contain clearly defined included and excluded regions.</w:t>
      </w:r>
    </w:p>
    <w:p>
      <w:pPr>
        <w:pStyle w:val="ListBullet"/>
      </w:pPr>
      <w:r>
        <w:t>Included Regions define where buyers may legally stream or distribute the title</w:t>
      </w:r>
    </w:p>
    <w:p>
      <w:pPr>
        <w:pStyle w:val="ListBullet"/>
      </w:pPr>
      <w:r>
        <w:t>Excluded Countries explicitly restrict availability in selected territories</w:t>
      </w:r>
    </w:p>
    <w:p>
      <w:pPr>
        <w:pStyle w:val="ListBullet"/>
      </w:pPr>
      <w:r>
        <w:t>Buyers are responsible for implementing geoblocking systems</w:t>
      </w:r>
    </w:p>
    <w:p>
      <w:pPr>
        <w:pStyle w:val="ListBullet"/>
      </w:pPr>
      <w:r>
        <w:t>Territory conflicts are automatically validated during deal submission</w:t>
      </w:r>
    </w:p>
    <w:p>
      <w:pPr>
        <w:pStyle w:val="ListBullet"/>
      </w:pPr>
      <w:r>
        <w:t>Exclusive territory overlaps trigger automated Rights Conflict Engine warnings</w:t>
      </w:r>
    </w:p>
    <w:p>
      <w:pPr>
        <w:pStyle w:val="Heading1"/>
      </w:pPr>
      <w:r>
        <w:t>6. License Terms &amp; Duration Standards</w:t>
      </w:r>
    </w:p>
    <w:tbl>
      <w:tblPr>
        <w:tblStyle w:val="TableGrid"/>
        <w:tblW w:type="auto" w:w="0"/>
        <w:tblLook w:firstColumn="1" w:firstRow="1" w:lastColumn="0" w:lastRow="0" w:noHBand="0" w:noVBand="1" w:val="04A0"/>
      </w:tblPr>
      <w:tblGrid>
        <w:gridCol w:w="2880"/>
        <w:gridCol w:w="2880"/>
        <w:gridCol w:w="2880"/>
      </w:tblGrid>
      <w:tr>
        <w:tc>
          <w:tcPr>
            <w:tcW w:type="dxa" w:w="2880"/>
          </w:tcPr>
          <w:p>
            <w:r>
              <w:t>Supported Term</w:t>
            </w:r>
          </w:p>
        </w:tc>
        <w:tc>
          <w:tcPr>
            <w:tcW w:type="dxa" w:w="2880"/>
          </w:tcPr>
          <w:p>
            <w:r>
              <w:t>Typical Marketplace Usage</w:t>
            </w:r>
          </w:p>
        </w:tc>
        <w:tc>
          <w:tcPr>
            <w:tcW w:type="dxa" w:w="2880"/>
          </w:tcPr>
          <w:p>
            <w:r>
              <w:t>Business Purpose</w:t>
            </w:r>
          </w:p>
        </w:tc>
      </w:tr>
      <w:tr>
        <w:tc>
          <w:tcPr>
            <w:tcW w:type="dxa" w:w="2880"/>
          </w:tcPr>
          <w:p>
            <w:r>
              <w:t>1 Year</w:t>
            </w:r>
          </w:p>
        </w:tc>
        <w:tc>
          <w:tcPr>
            <w:tcW w:type="dxa" w:w="2880"/>
          </w:tcPr>
          <w:p>
            <w:r>
              <w:t>Short-term regional licensing</w:t>
            </w:r>
          </w:p>
        </w:tc>
        <w:tc>
          <w:tcPr>
            <w:tcW w:type="dxa" w:w="2880"/>
          </w:tcPr>
          <w:p>
            <w:r>
              <w:t>Testing new market opportunities</w:t>
            </w:r>
          </w:p>
        </w:tc>
      </w:tr>
      <w:tr>
        <w:tc>
          <w:tcPr>
            <w:tcW w:type="dxa" w:w="2880"/>
          </w:tcPr>
          <w:p>
            <w:r>
              <w:t>2 Years</w:t>
            </w:r>
          </w:p>
        </w:tc>
        <w:tc>
          <w:tcPr>
            <w:tcW w:type="dxa" w:w="2880"/>
          </w:tcPr>
          <w:p>
            <w:r>
              <w:t>Standard streaming agreements</w:t>
            </w:r>
          </w:p>
        </w:tc>
        <w:tc>
          <w:tcPr>
            <w:tcW w:type="dxa" w:w="2880"/>
          </w:tcPr>
          <w:p>
            <w:r>
              <w:t>Flexible renewal structure</w:t>
            </w:r>
          </w:p>
        </w:tc>
      </w:tr>
      <w:tr>
        <w:tc>
          <w:tcPr>
            <w:tcW w:type="dxa" w:w="2880"/>
          </w:tcPr>
          <w:p>
            <w:r>
              <w:t>3 Years</w:t>
            </w:r>
          </w:p>
        </w:tc>
        <w:tc>
          <w:tcPr>
            <w:tcW w:type="dxa" w:w="2880"/>
          </w:tcPr>
          <w:p>
            <w:r>
              <w:t>Common SVOD licensing term</w:t>
            </w:r>
          </w:p>
        </w:tc>
        <w:tc>
          <w:tcPr>
            <w:tcW w:type="dxa" w:w="2880"/>
          </w:tcPr>
          <w:p>
            <w:r>
              <w:t>Mid-term content partnerships</w:t>
            </w:r>
          </w:p>
        </w:tc>
      </w:tr>
      <w:tr>
        <w:tc>
          <w:tcPr>
            <w:tcW w:type="dxa" w:w="2880"/>
          </w:tcPr>
          <w:p>
            <w:r>
              <w:t>5 Years</w:t>
            </w:r>
          </w:p>
        </w:tc>
        <w:tc>
          <w:tcPr>
            <w:tcW w:type="dxa" w:w="2880"/>
          </w:tcPr>
          <w:p>
            <w:r>
              <w:t>Premium content partnerships</w:t>
            </w:r>
          </w:p>
        </w:tc>
        <w:tc>
          <w:tcPr>
            <w:tcW w:type="dxa" w:w="2880"/>
          </w:tcPr>
          <w:p>
            <w:r>
              <w:t>Long-term platform investment</w:t>
            </w:r>
          </w:p>
        </w:tc>
      </w:tr>
      <w:tr>
        <w:tc>
          <w:tcPr>
            <w:tcW w:type="dxa" w:w="2880"/>
          </w:tcPr>
          <w:p>
            <w:r>
              <w:t>10 Years</w:t>
            </w:r>
          </w:p>
        </w:tc>
        <w:tc>
          <w:tcPr>
            <w:tcW w:type="dxa" w:w="2880"/>
          </w:tcPr>
          <w:p>
            <w:r>
              <w:t>Archival &amp; legacy distribution</w:t>
            </w:r>
          </w:p>
        </w:tc>
        <w:tc>
          <w:tcPr>
            <w:tcW w:type="dxa" w:w="2880"/>
          </w:tcPr>
          <w:p>
            <w:r>
              <w:t>Extended monetization rights</w:t>
            </w:r>
          </w:p>
        </w:tc>
      </w:tr>
    </w:tbl>
    <w:p>
      <w:r>
        <w:t>Custom licensing durations exceeding 10 years require manual administrator review to prevent accidental perpetual licensing agreements.</w:t>
      </w:r>
    </w:p>
    <w:p>
      <w:pPr>
        <w:pStyle w:val="Heading1"/>
      </w:pPr>
      <w:r>
        <w:t>7. Buyer &amp; Seller Visibility Rules</w:t>
      </w:r>
    </w:p>
    <w:p>
      <w:r>
        <w:t>During the pre‑shortlist discovery phase, the Mediashippers platform protects buyer anonymity to prevent off‑platform negotiations and maintain fair marketplace operations.</w:t>
      </w:r>
    </w:p>
    <w:tbl>
      <w:tblPr>
        <w:tblStyle w:val="TableGrid"/>
        <w:tblW w:type="auto" w:w="0"/>
        <w:tblLook w:firstColumn="1" w:firstRow="1" w:lastColumn="0" w:lastRow="0" w:noHBand="0" w:noVBand="1" w:val="04A0"/>
      </w:tblPr>
      <w:tblGrid>
        <w:gridCol w:w="4320"/>
        <w:gridCol w:w="4320"/>
      </w:tblGrid>
      <w:tr>
        <w:tc>
          <w:tcPr>
            <w:tcW w:type="dxa" w:w="4320"/>
          </w:tcPr>
          <w:p>
            <w:r>
              <w:t>Sellers CAN View</w:t>
            </w:r>
          </w:p>
        </w:tc>
        <w:tc>
          <w:tcPr>
            <w:tcW w:type="dxa" w:w="4320"/>
          </w:tcPr>
          <w:p>
            <w:r>
              <w:t>Sellers CANNOT View</w:t>
            </w:r>
          </w:p>
        </w:tc>
      </w:tr>
      <w:tr>
        <w:tc>
          <w:tcPr>
            <w:tcW w:type="dxa" w:w="4320"/>
          </w:tcPr>
          <w:p>
            <w:r>
              <w:t>Platform Name</w:t>
            </w:r>
          </w:p>
        </w:tc>
        <w:tc>
          <w:tcPr>
            <w:tcW w:type="dxa" w:w="4320"/>
          </w:tcPr>
          <w:p>
            <w:r>
              <w:t>Buyer Company Name</w:t>
            </w:r>
          </w:p>
        </w:tc>
      </w:tr>
      <w:tr>
        <w:tc>
          <w:tcPr>
            <w:tcW w:type="dxa" w:w="4320"/>
          </w:tcPr>
          <w:p>
            <w:r>
              <w:t>Regions</w:t>
            </w:r>
          </w:p>
        </w:tc>
        <w:tc>
          <w:tcPr>
            <w:tcW w:type="dxa" w:w="4320"/>
          </w:tcPr>
          <w:p>
            <w:r>
              <w:t>Buyer Contact Details</w:t>
            </w:r>
          </w:p>
        </w:tc>
      </w:tr>
      <w:tr>
        <w:tc>
          <w:tcPr>
            <w:tcW w:type="dxa" w:w="4320"/>
          </w:tcPr>
          <w:p>
            <w:r>
              <w:t>Requested Rights</w:t>
            </w:r>
          </w:p>
        </w:tc>
        <w:tc>
          <w:tcPr>
            <w:tcW w:type="dxa" w:w="4320"/>
          </w:tcPr>
          <w:p>
            <w:r>
              <w:t>Buyer Emails</w:t>
            </w:r>
          </w:p>
        </w:tc>
      </w:tr>
      <w:tr>
        <w:tc>
          <w:tcPr>
            <w:tcW w:type="dxa" w:w="4320"/>
          </w:tcPr>
          <w:p>
            <w:r>
              <w:t>Languages &amp; Genres</w:t>
            </w:r>
          </w:p>
        </w:tc>
        <w:tc>
          <w:tcPr>
            <w:tcW w:type="dxa" w:w="4320"/>
          </w:tcPr>
          <w:p>
            <w:r>
              <w:t>Buyer Representatives</w:t>
            </w:r>
          </w:p>
        </w:tc>
      </w:tr>
      <w:tr>
        <w:tc>
          <w:tcPr>
            <w:tcW w:type="dxa" w:w="4320"/>
          </w:tcPr>
          <w:p>
            <w:r>
              <w:t>Payment Structure</w:t>
            </w:r>
          </w:p>
        </w:tc>
        <w:tc>
          <w:tcPr>
            <w:tcW w:type="dxa" w:w="4320"/>
          </w:tcPr>
          <w:p>
            <w:r>
              <w:t>Direct Phone Numbers</w:t>
            </w:r>
          </w:p>
        </w:tc>
      </w:tr>
      <w:tr>
        <w:tc>
          <w:tcPr>
            <w:tcW w:type="dxa" w:w="4320"/>
          </w:tcPr>
          <w:p>
            <w:r>
              <w:t>License Term</w:t>
            </w:r>
          </w:p>
        </w:tc>
        <w:tc>
          <w:tcPr>
            <w:tcW w:type="dxa" w:w="4320"/>
          </w:tcPr>
          <w:p>
            <w:r>
              <w:t>Corporate Addresses</w:t>
            </w:r>
          </w:p>
        </w:tc>
      </w:tr>
    </w:tbl>
    <w:p>
      <w:pPr>
        <w:pStyle w:val="Heading1"/>
      </w:pPr>
      <w:r>
        <w:t>8. Shortlisting &amp; Negotiation Workflow</w:t>
      </w:r>
    </w:p>
    <w:p>
      <w:pPr>
        <w:pStyle w:val="ListNumber"/>
      </w:pPr>
      <w:r>
        <w:t>Buyer shortlists a submitted title</w:t>
      </w:r>
    </w:p>
    <w:p>
      <w:pPr>
        <w:pStyle w:val="ListNumber"/>
      </w:pPr>
      <w:r>
        <w:t>Seller receives automated notification</w:t>
      </w:r>
    </w:p>
    <w:p>
      <w:pPr>
        <w:pStyle w:val="ListNumber"/>
      </w:pPr>
      <w:r>
        <w:t>Buyer and seller identities become visible</w:t>
      </w:r>
    </w:p>
    <w:p>
      <w:pPr>
        <w:pStyle w:val="ListNumber"/>
      </w:pPr>
      <w:r>
        <w:t>Secure negotiation chat is unlocked</w:t>
      </w:r>
    </w:p>
    <w:p>
      <w:pPr>
        <w:pStyle w:val="ListNumber"/>
      </w:pPr>
      <w:r>
        <w:t>Rights and payment structures become negotiable</w:t>
      </w:r>
    </w:p>
    <w:p>
      <w:pPr>
        <w:pStyle w:val="ListNumber"/>
      </w:pPr>
      <w:r>
        <w:t>Final licensing terms are documented within the platform</w:t>
      </w:r>
    </w:p>
    <w:p>
      <w:pPr>
        <w:pStyle w:val="Heading1"/>
      </w:pPr>
      <w:r>
        <w:t>9. Automated Rights Conflict Engine</w:t>
      </w:r>
    </w:p>
    <w:p>
      <w:r>
        <w:t>The Mediashippers Rights Conflict Engine automatically scans submissions for overlapping or legally invalid configurations.</w:t>
      </w:r>
    </w:p>
    <w:p>
      <w:pPr>
        <w:pStyle w:val="ListBullet"/>
      </w:pPr>
      <w:r>
        <w:t>Overlapping exclusive territory rights</w:t>
      </w:r>
    </w:p>
    <w:p>
      <w:pPr>
        <w:pStyle w:val="ListBullet"/>
      </w:pPr>
      <w:r>
        <w:t>Conflicting regional availability claims</w:t>
      </w:r>
    </w:p>
    <w:p>
      <w:pPr>
        <w:pStyle w:val="ListBullet"/>
      </w:pPr>
      <w:r>
        <w:t>Expired underlying ownership rights</w:t>
      </w:r>
    </w:p>
    <w:p>
      <w:pPr>
        <w:pStyle w:val="ListBullet"/>
      </w:pPr>
      <w:r>
        <w:t>Duplicate title submissions</w:t>
      </w:r>
    </w:p>
    <w:p>
      <w:pPr>
        <w:pStyle w:val="ListBullet"/>
      </w:pPr>
      <w:r>
        <w:t>Unauthorized localization permissions</w:t>
      </w:r>
    </w:p>
    <w:p>
      <w:pPr>
        <w:pStyle w:val="ListBullet"/>
      </w:pPr>
      <w:r>
        <w:t>Improper territory overlaps</w:t>
      </w:r>
    </w:p>
    <w:p>
      <w:pPr>
        <w:pStyle w:val="Heading1"/>
      </w:pPr>
      <w:r>
        <w:t>10. Dummy Rights Submission Example</w:t>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Dummy Value</w:t>
            </w:r>
          </w:p>
        </w:tc>
      </w:tr>
      <w:tr>
        <w:tc>
          <w:tcPr>
            <w:tcW w:type="dxa" w:w="4320"/>
          </w:tcPr>
          <w:p>
            <w:r>
              <w:t>Available Rights</w:t>
            </w:r>
          </w:p>
        </w:tc>
        <w:tc>
          <w:tcPr>
            <w:tcW w:type="dxa" w:w="4320"/>
          </w:tcPr>
          <w:p>
            <w:r>
              <w:t>SVOD + TV Rights</w:t>
            </w:r>
          </w:p>
        </w:tc>
      </w:tr>
      <w:tr>
        <w:tc>
          <w:tcPr>
            <w:tcW w:type="dxa" w:w="4320"/>
          </w:tcPr>
          <w:p>
            <w:r>
              <w:t>Target Regions</w:t>
            </w:r>
          </w:p>
        </w:tc>
        <w:tc>
          <w:tcPr>
            <w:tcW w:type="dxa" w:w="4320"/>
          </w:tcPr>
          <w:p>
            <w:r>
              <w:t>Worldwide excluding China</w:t>
            </w:r>
          </w:p>
        </w:tc>
      </w:tr>
      <w:tr>
        <w:tc>
          <w:tcPr>
            <w:tcW w:type="dxa" w:w="4320"/>
          </w:tcPr>
          <w:p>
            <w:r>
              <w:t>License Start</w:t>
            </w:r>
          </w:p>
        </w:tc>
        <w:tc>
          <w:tcPr>
            <w:tcW w:type="dxa" w:w="4320"/>
          </w:tcPr>
          <w:p>
            <w:r>
              <w:t>01‑01‑2026</w:t>
            </w:r>
          </w:p>
        </w:tc>
      </w:tr>
      <w:tr>
        <w:tc>
          <w:tcPr>
            <w:tcW w:type="dxa" w:w="4320"/>
          </w:tcPr>
          <w:p>
            <w:r>
              <w:t>License End</w:t>
            </w:r>
          </w:p>
        </w:tc>
        <w:tc>
          <w:tcPr>
            <w:tcW w:type="dxa" w:w="4320"/>
          </w:tcPr>
          <w:p>
            <w:r>
              <w:t>01‑01‑2031</w:t>
            </w:r>
          </w:p>
        </w:tc>
      </w:tr>
      <w:tr>
        <w:tc>
          <w:tcPr>
            <w:tcW w:type="dxa" w:w="4320"/>
          </w:tcPr>
          <w:p>
            <w:r>
              <w:t>Exclusivity</w:t>
            </w:r>
          </w:p>
        </w:tc>
        <w:tc>
          <w:tcPr>
            <w:tcW w:type="dxa" w:w="4320"/>
          </w:tcPr>
          <w:p>
            <w:r>
              <w:t>Exclusive</w:t>
            </w:r>
          </w:p>
        </w:tc>
      </w:tr>
      <w:tr>
        <w:tc>
          <w:tcPr>
            <w:tcW w:type="dxa" w:w="4320"/>
          </w:tcPr>
          <w:p>
            <w:r>
              <w:t>Dubbing Rights</w:t>
            </w:r>
          </w:p>
        </w:tc>
        <w:tc>
          <w:tcPr>
            <w:tcW w:type="dxa" w:w="4320"/>
          </w:tcPr>
          <w:p>
            <w:r>
              <w:t>Enabled</w:t>
            </w:r>
          </w:p>
        </w:tc>
      </w:tr>
      <w:tr>
        <w:tc>
          <w:tcPr>
            <w:tcW w:type="dxa" w:w="4320"/>
          </w:tcPr>
          <w:p>
            <w:r>
              <w:t>Visibility Status</w:t>
            </w:r>
          </w:p>
        </w:tc>
        <w:tc>
          <w:tcPr>
            <w:tcW w:type="dxa" w:w="4320"/>
          </w:tcPr>
          <w:p>
            <w:r>
              <w:t>Pre‑Shortlist Anonymous</w:t>
            </w:r>
          </w:p>
        </w:tc>
      </w:tr>
    </w:tbl>
    <w:p>
      <w:pPr>
        <w:pStyle w:val="Heading1"/>
      </w:pPr>
      <w:r>
        <w:t>11. Internal Training Notes</w:t>
      </w:r>
    </w:p>
    <w:p>
      <w:r>
        <w:t>This document is intended solely for intern onboarding and workflow training purposes. All licensing structures, territories, rights configurations, companies, and examples used in this document are fictional training references.</w:t>
      </w:r>
    </w:p>
    <w:p>
      <w:r>
        <w:t>Interns reviewing this workflow should understand how rights management directly impacts content licensing, distribution legality, regional availability, platform monetization, and commercial negotiations.</w:t>
      </w:r>
    </w:p>
    <w:p>
      <w:pPr>
        <w:jc w:val="center"/>
      </w:pPr>
      <w:r>
        <w:rPr>
          <w:b/>
        </w:rPr>
        <w:br/>
        <w:t>CONFIDENTIAL — MEDIASHIPPERS INTERNAL TRAINING &amp; RIGHTS OPERATIONS DOCUMENT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