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E0CB" w14:textId="50E8002E" w:rsidR="00295C45" w:rsidRDefault="007105AF">
      <w:pPr>
        <w:rPr>
          <w:lang w:val="en-US"/>
        </w:rPr>
      </w:pPr>
      <w:r>
        <w:rPr>
          <w:lang w:val="en-US"/>
        </w:rPr>
        <w:t xml:space="preserve">EXPERIMENT:02  </w:t>
      </w:r>
    </w:p>
    <w:p w14:paraId="6F5BB5EE" w14:textId="2DEFD850" w:rsidR="007105AF" w:rsidRDefault="007105AF">
      <w:pPr>
        <w:rPr>
          <w:lang w:val="en-US"/>
        </w:rPr>
      </w:pPr>
      <w:r>
        <w:rPr>
          <w:lang w:val="en-US"/>
        </w:rPr>
        <w:t>Experiment title: Determination of the strength of an unknown sodium carbonate solution from potentiometric titration of a given sodium carbonate using aqueous hydrochloric acid.</w:t>
      </w:r>
    </w:p>
    <w:p w14:paraId="654A51BF" w14:textId="6F2F00AC" w:rsidR="007105AF" w:rsidRDefault="007105AF">
      <w:pPr>
        <w:rPr>
          <w:lang w:val="en-US"/>
        </w:rPr>
      </w:pPr>
    </w:p>
    <w:p w14:paraId="7939C316" w14:textId="37FE25E5" w:rsidR="007105AF" w:rsidRDefault="007105AF">
      <w:pPr>
        <w:rPr>
          <w:lang w:val="en-US"/>
        </w:rPr>
      </w:pPr>
    </w:p>
    <w:p w14:paraId="2C008242" w14:textId="57617726" w:rsidR="007105AF" w:rsidRDefault="007105AF">
      <w:pPr>
        <w:rPr>
          <w:lang w:val="en-US"/>
        </w:rPr>
      </w:pPr>
      <w:r>
        <w:rPr>
          <w:lang w:val="en-US"/>
        </w:rPr>
        <w:t>Name: ANJALI KUMARI</w:t>
      </w:r>
    </w:p>
    <w:p w14:paraId="5124D7BA" w14:textId="7B04316D" w:rsidR="007105AF" w:rsidRDefault="007105AF">
      <w:pPr>
        <w:rPr>
          <w:lang w:val="en-US"/>
        </w:rPr>
      </w:pPr>
      <w:r>
        <w:rPr>
          <w:lang w:val="en-US"/>
        </w:rPr>
        <w:t>ROLL NO. 21CY10005</w:t>
      </w:r>
    </w:p>
    <w:p w14:paraId="6AE92CFD" w14:textId="7667E511" w:rsidR="0005051F" w:rsidRDefault="007105AF">
      <w:pPr>
        <w:rPr>
          <w:lang w:val="en-US"/>
        </w:rPr>
      </w:pPr>
      <w:r>
        <w:rPr>
          <w:lang w:val="en-US"/>
        </w:rPr>
        <w:t>SECTION 12</w:t>
      </w:r>
    </w:p>
    <w:p w14:paraId="0ACBB298" w14:textId="77777777" w:rsidR="0005051F" w:rsidRDefault="0005051F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vertAnchor="page" w:horzAnchor="margin" w:tblpY="1165"/>
        <w:tblW w:w="7380" w:type="dxa"/>
        <w:tblLook w:val="04A0" w:firstRow="1" w:lastRow="0" w:firstColumn="1" w:lastColumn="0" w:noHBand="0" w:noVBand="1"/>
      </w:tblPr>
      <w:tblGrid>
        <w:gridCol w:w="3140"/>
        <w:gridCol w:w="2000"/>
        <w:gridCol w:w="2240"/>
      </w:tblGrid>
      <w:tr w:rsidR="002B16CF" w:rsidRPr="0005051F" w14:paraId="2719CA02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B924852" w14:textId="77777777" w:rsidR="002B16CF" w:rsidRPr="0005051F" w:rsidRDefault="002B16CF" w:rsidP="002B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Volume </w:t>
            </w:r>
            <w:proofErr w:type="gramStart"/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of  HCl</w:t>
            </w:r>
            <w:proofErr w:type="gramEnd"/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added(ml)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5ED6EC4" w14:textId="77777777" w:rsidR="002B16CF" w:rsidRPr="0005051F" w:rsidRDefault="002B16CF" w:rsidP="002B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EMF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0BF5481" w14:textId="77777777" w:rsidR="002B16CF" w:rsidRPr="0005051F" w:rsidRDefault="002B16CF" w:rsidP="002B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</w:t>
            </w: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ΔEMF/ΔV</w:t>
            </w:r>
          </w:p>
        </w:tc>
      </w:tr>
      <w:tr w:rsidR="002B16CF" w:rsidRPr="0005051F" w14:paraId="011B436A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3676CD8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1C76433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-205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95BC82D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B16CF" w:rsidRPr="0005051F" w14:paraId="3B246EE7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DF5DD8D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C412BDD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-183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B3C80C2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2B16CF" w:rsidRPr="0005051F" w14:paraId="7E4F11E6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FBF5C98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B503AC3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-165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FEB3B4E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2B16CF" w:rsidRPr="0005051F" w14:paraId="7617314C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A6E9A6B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026CA12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-143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B22EE28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</w:tr>
      <w:tr w:rsidR="002B16CF" w:rsidRPr="0005051F" w14:paraId="1E0CCBD1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2CB165C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425BB0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-128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6852C9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</w:tr>
      <w:tr w:rsidR="002B16CF" w:rsidRPr="0005051F" w14:paraId="75416711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BF3C96B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2830C6E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-95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880837E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</w:tr>
      <w:tr w:rsidR="002B16CF" w:rsidRPr="0005051F" w14:paraId="74A28019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</w:tcPr>
          <w:p w14:paraId="691BF67A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70CB978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4D814E37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B16CF" w:rsidRPr="0005051F" w14:paraId="34398F1C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9194368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11.2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93BBE3A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-50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3FDA1EC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225</w:t>
            </w:r>
          </w:p>
        </w:tc>
      </w:tr>
      <w:tr w:rsidR="002B16CF" w:rsidRPr="0005051F" w14:paraId="2CD33B37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F33FDBD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11.4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89A09F6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-12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87CF517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</w:tr>
      <w:tr w:rsidR="002B16CF" w:rsidRPr="0005051F" w14:paraId="755B89F5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E9367E0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11.6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04CD60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B479CEA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2B16CF" w:rsidRPr="0005051F" w14:paraId="51E7E52C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53C86ABF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11.8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AB40D35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86B92B3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2B16CF" w:rsidRPr="0005051F" w14:paraId="5768262E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484FA47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65877B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C0B4522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2B16CF" w:rsidRPr="0005051F" w14:paraId="0A29226F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518DA43A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12.2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1E22607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BD9B608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2B16CF" w:rsidRPr="0005051F" w14:paraId="3BC5ABAC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71AA16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12.4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3AF35FB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3B682D2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2B16CF" w:rsidRPr="0005051F" w14:paraId="7B1F2AFC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957C937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12.6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7CF13C1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E35A59C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2B16CF" w:rsidRPr="0005051F" w14:paraId="690BEFD3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5C0F32A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12.8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63D8893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1AD1BB0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2B16CF" w:rsidRPr="0005051F" w14:paraId="7E4860B8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9FC570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0A3B58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3780444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2B16CF" w:rsidRPr="0005051F" w14:paraId="353EB652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9B35FA4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168E687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0609B9E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</w:tr>
      <w:tr w:rsidR="002B16CF" w:rsidRPr="0005051F" w14:paraId="774D5E4E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41E52AED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FAC965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B109C69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2B16CF" w:rsidRPr="0005051F" w14:paraId="34872CE1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E27C168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633A25A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5E81C02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2B16CF" w:rsidRPr="0005051F" w14:paraId="219FE379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40D17766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EDE5EB8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3E48A70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2B16CF" w:rsidRPr="0005051F" w14:paraId="09B18550" w14:textId="77777777" w:rsidTr="002B16CF">
        <w:trPr>
          <w:trHeight w:val="288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DE66B4E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BAF5AB6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137EDFA" w14:textId="77777777" w:rsidR="002B16CF" w:rsidRPr="0005051F" w:rsidRDefault="002B16CF" w:rsidP="002B1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</w:tbl>
    <w:p w14:paraId="62A5A150" w14:textId="77777777" w:rsidR="0005051F" w:rsidRDefault="0005051F" w:rsidP="002B16CF">
      <w:pPr>
        <w:jc w:val="center"/>
      </w:pPr>
      <w:r>
        <w:br w:type="page"/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3140"/>
        <w:gridCol w:w="2000"/>
        <w:gridCol w:w="2240"/>
      </w:tblGrid>
      <w:tr w:rsidR="0005051F" w:rsidRPr="0005051F" w14:paraId="5D52B471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58C7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22.2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6E2E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DB23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05051F" w:rsidRPr="0005051F" w14:paraId="0F09EF1A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2E03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22.4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1690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5440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</w:tr>
      <w:tr w:rsidR="0005051F" w:rsidRPr="0005051F" w14:paraId="21B28835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6661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22.6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57FA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227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E943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</w:tr>
      <w:tr w:rsidR="0005051F" w:rsidRPr="0005051F" w14:paraId="2EDCDF75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1D10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22.8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D76A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238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C6DE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</w:tr>
      <w:tr w:rsidR="0005051F" w:rsidRPr="0005051F" w14:paraId="49582EFB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56CE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0BBB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249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D82D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</w:tr>
      <w:tr w:rsidR="0005051F" w:rsidRPr="0005051F" w14:paraId="31F69A9E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3DF5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23.2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B39F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255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CFDF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05051F" w:rsidRPr="0005051F" w14:paraId="73D78917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7BEF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23.4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662E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259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AAD5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05051F" w:rsidRPr="0005051F" w14:paraId="41ACAD88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1DC9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23.6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6730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266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54A2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05051F" w:rsidRPr="0005051F" w14:paraId="494D3FBE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1CB7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23.8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57F3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269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B2FD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05051F" w:rsidRPr="0005051F" w14:paraId="51EE9BE2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3FD4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7FC2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271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03DA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05051F" w:rsidRPr="0005051F" w14:paraId="5547A24E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1733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E12A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AF5E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8.5</w:t>
            </w:r>
          </w:p>
        </w:tc>
      </w:tr>
      <w:tr w:rsidR="0005051F" w:rsidRPr="0005051F" w14:paraId="6E29B27C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7F86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14D1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299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74D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</w:tr>
      <w:tr w:rsidR="0005051F" w:rsidRPr="0005051F" w14:paraId="5B2DD507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441E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2384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307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5903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05051F" w:rsidRPr="0005051F" w14:paraId="1D4655DD" w14:textId="77777777" w:rsidTr="00843EFE">
        <w:trPr>
          <w:trHeight w:val="288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6103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600B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696E" w14:textId="77777777" w:rsidR="0005051F" w:rsidRPr="0005051F" w:rsidRDefault="0005051F" w:rsidP="00843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051F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</w:tr>
    </w:tbl>
    <w:p w14:paraId="2E58BBE7" w14:textId="77777777" w:rsidR="0005051F" w:rsidRPr="007105AF" w:rsidRDefault="0005051F" w:rsidP="0005051F">
      <w:pPr>
        <w:rPr>
          <w:lang w:val="en-US"/>
        </w:rPr>
      </w:pPr>
    </w:p>
    <w:p w14:paraId="3417BD34" w14:textId="5C451E3B" w:rsidR="0005051F" w:rsidRDefault="0005051F"/>
    <w:p w14:paraId="73520369" w14:textId="130EFC43" w:rsidR="00017322" w:rsidRDefault="0005051F">
      <w:r>
        <w:rPr>
          <w:noProof/>
        </w:rPr>
        <w:drawing>
          <wp:inline distT="0" distB="0" distL="0" distR="0" wp14:anchorId="51A99827" wp14:editId="58E4885E">
            <wp:extent cx="5731510" cy="3660140"/>
            <wp:effectExtent l="0" t="0" r="254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81FA21-D105-4422-9235-2507FD0DFF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 w:type="page"/>
      </w:r>
    </w:p>
    <w:p w14:paraId="4F64E4E6" w14:textId="1925B93A" w:rsidR="00017322" w:rsidRDefault="0038558B">
      <w:r>
        <w:rPr>
          <w:noProof/>
        </w:rPr>
        <w:lastRenderedPageBreak/>
        <w:drawing>
          <wp:inline distT="0" distB="0" distL="0" distR="0" wp14:anchorId="573F92E1" wp14:editId="6D98D9FF">
            <wp:extent cx="5731510" cy="4658995"/>
            <wp:effectExtent l="0" t="0" r="2540" b="825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B22C93C-5ABC-42CD-9A39-91391BBC4F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17322">
        <w:br w:type="page"/>
      </w:r>
    </w:p>
    <w:p w14:paraId="54C11E57" w14:textId="04530CF2" w:rsidR="0005051F" w:rsidRDefault="00017322">
      <w:r>
        <w:rPr>
          <w:noProof/>
        </w:rPr>
        <w:lastRenderedPageBreak/>
        <w:drawing>
          <wp:inline distT="0" distB="0" distL="0" distR="0" wp14:anchorId="012447B5" wp14:editId="22BE2DFE">
            <wp:extent cx="5731510" cy="6663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51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D99F" w14:textId="77777777" w:rsidR="005D1CEF" w:rsidRDefault="005D1CEF" w:rsidP="0005051F">
      <w:pPr>
        <w:spacing w:after="0" w:line="240" w:lineRule="auto"/>
      </w:pPr>
      <w:r>
        <w:separator/>
      </w:r>
    </w:p>
  </w:endnote>
  <w:endnote w:type="continuationSeparator" w:id="0">
    <w:p w14:paraId="3D60B3CB" w14:textId="77777777" w:rsidR="005D1CEF" w:rsidRDefault="005D1CEF" w:rsidP="0005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627E" w14:textId="77777777" w:rsidR="005D1CEF" w:rsidRDefault="005D1CEF" w:rsidP="0005051F">
      <w:pPr>
        <w:spacing w:after="0" w:line="240" w:lineRule="auto"/>
      </w:pPr>
      <w:r>
        <w:separator/>
      </w:r>
    </w:p>
  </w:footnote>
  <w:footnote w:type="continuationSeparator" w:id="0">
    <w:p w14:paraId="6178B1E4" w14:textId="77777777" w:rsidR="005D1CEF" w:rsidRDefault="005D1CEF" w:rsidP="0005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FA6C" w14:textId="31844465" w:rsidR="0038558B" w:rsidRPr="0038558B" w:rsidRDefault="0038558B">
    <w:pPr>
      <w:pStyle w:val="Header"/>
      <w:rPr>
        <w:lang w:val="en-US"/>
      </w:rPr>
    </w:pPr>
    <w:r>
      <w:rPr>
        <w:lang w:val="en-US"/>
      </w:rPr>
      <w:t>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AF"/>
    <w:rsid w:val="00017322"/>
    <w:rsid w:val="0005051F"/>
    <w:rsid w:val="00295C45"/>
    <w:rsid w:val="002B16CF"/>
    <w:rsid w:val="0038558B"/>
    <w:rsid w:val="003A528A"/>
    <w:rsid w:val="005D1CEF"/>
    <w:rsid w:val="007105AF"/>
    <w:rsid w:val="00AC4EBD"/>
    <w:rsid w:val="00E605AB"/>
    <w:rsid w:val="00E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088FD"/>
  <w15:chartTrackingRefBased/>
  <w15:docId w15:val="{193DD693-815C-4CE9-809D-A27A77E0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1F"/>
  </w:style>
  <w:style w:type="paragraph" w:styleId="Footer">
    <w:name w:val="footer"/>
    <w:basedOn w:val="Normal"/>
    <w:link w:val="FooterChar"/>
    <w:uiPriority w:val="99"/>
    <w:unhideWhenUsed/>
    <w:rsid w:val="0005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Plot</a:t>
            </a:r>
            <a:r>
              <a:rPr lang="en-IN" baseline="0"/>
              <a:t> of Emf vs volume of Hcl added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722634448964371E-2"/>
          <c:y val="0.11942994218114041"/>
          <c:w val="0.86987729658792656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EMF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Sheet1!$A$3:$A$37</c:f>
              <c:numCache>
                <c:formatCode>General</c:formatCode>
                <c:ptCount val="3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11.2</c:v>
                </c:pt>
                <c:pt idx="7">
                  <c:v>11.4</c:v>
                </c:pt>
                <c:pt idx="8">
                  <c:v>11.6</c:v>
                </c:pt>
                <c:pt idx="9">
                  <c:v>11.8</c:v>
                </c:pt>
                <c:pt idx="10">
                  <c:v>12</c:v>
                </c:pt>
                <c:pt idx="11">
                  <c:v>12.2</c:v>
                </c:pt>
                <c:pt idx="12">
                  <c:v>12.4</c:v>
                </c:pt>
                <c:pt idx="13">
                  <c:v>12.6</c:v>
                </c:pt>
                <c:pt idx="14">
                  <c:v>12.8</c:v>
                </c:pt>
                <c:pt idx="15">
                  <c:v>13</c:v>
                </c:pt>
                <c:pt idx="16">
                  <c:v>15</c:v>
                </c:pt>
                <c:pt idx="17">
                  <c:v>17</c:v>
                </c:pt>
                <c:pt idx="18">
                  <c:v>19</c:v>
                </c:pt>
                <c:pt idx="19">
                  <c:v>21</c:v>
                </c:pt>
                <c:pt idx="20">
                  <c:v>22</c:v>
                </c:pt>
                <c:pt idx="21">
                  <c:v>22.2</c:v>
                </c:pt>
                <c:pt idx="22">
                  <c:v>22.4</c:v>
                </c:pt>
                <c:pt idx="23">
                  <c:v>22.6</c:v>
                </c:pt>
                <c:pt idx="24">
                  <c:v>22.8</c:v>
                </c:pt>
                <c:pt idx="25">
                  <c:v>23</c:v>
                </c:pt>
                <c:pt idx="26">
                  <c:v>23.2</c:v>
                </c:pt>
                <c:pt idx="27">
                  <c:v>23.4</c:v>
                </c:pt>
                <c:pt idx="28">
                  <c:v>23.6</c:v>
                </c:pt>
                <c:pt idx="29">
                  <c:v>23.8</c:v>
                </c:pt>
                <c:pt idx="30">
                  <c:v>24</c:v>
                </c:pt>
                <c:pt idx="31">
                  <c:v>26</c:v>
                </c:pt>
                <c:pt idx="32">
                  <c:v>28</c:v>
                </c:pt>
                <c:pt idx="33">
                  <c:v>30</c:v>
                </c:pt>
                <c:pt idx="34">
                  <c:v>32</c:v>
                </c:pt>
              </c:numCache>
            </c:numRef>
          </c:xVal>
          <c:yVal>
            <c:numRef>
              <c:f>Sheet1!$B$3:$B$37</c:f>
              <c:numCache>
                <c:formatCode>General</c:formatCode>
                <c:ptCount val="35"/>
                <c:pt idx="0">
                  <c:v>-205</c:v>
                </c:pt>
                <c:pt idx="1">
                  <c:v>-183</c:v>
                </c:pt>
                <c:pt idx="2">
                  <c:v>-165</c:v>
                </c:pt>
                <c:pt idx="3">
                  <c:v>-143</c:v>
                </c:pt>
                <c:pt idx="4">
                  <c:v>-128</c:v>
                </c:pt>
                <c:pt idx="5">
                  <c:v>-95</c:v>
                </c:pt>
                <c:pt idx="6">
                  <c:v>-50</c:v>
                </c:pt>
                <c:pt idx="7">
                  <c:v>-12</c:v>
                </c:pt>
                <c:pt idx="8">
                  <c:v>-7</c:v>
                </c:pt>
                <c:pt idx="9">
                  <c:v>-1</c:v>
                </c:pt>
                <c:pt idx="10">
                  <c:v>3</c:v>
                </c:pt>
                <c:pt idx="11">
                  <c:v>9</c:v>
                </c:pt>
                <c:pt idx="12">
                  <c:v>12</c:v>
                </c:pt>
                <c:pt idx="13">
                  <c:v>15</c:v>
                </c:pt>
                <c:pt idx="14">
                  <c:v>18</c:v>
                </c:pt>
                <c:pt idx="15">
                  <c:v>23</c:v>
                </c:pt>
                <c:pt idx="16">
                  <c:v>48</c:v>
                </c:pt>
                <c:pt idx="17">
                  <c:v>62</c:v>
                </c:pt>
                <c:pt idx="18">
                  <c:v>82</c:v>
                </c:pt>
                <c:pt idx="19">
                  <c:v>114</c:v>
                </c:pt>
                <c:pt idx="20">
                  <c:v>149</c:v>
                </c:pt>
                <c:pt idx="21">
                  <c:v>170</c:v>
                </c:pt>
                <c:pt idx="22">
                  <c:v>208</c:v>
                </c:pt>
                <c:pt idx="23">
                  <c:v>227</c:v>
                </c:pt>
                <c:pt idx="24">
                  <c:v>238</c:v>
                </c:pt>
                <c:pt idx="25">
                  <c:v>249</c:v>
                </c:pt>
                <c:pt idx="26">
                  <c:v>255</c:v>
                </c:pt>
                <c:pt idx="27">
                  <c:v>259</c:v>
                </c:pt>
                <c:pt idx="28">
                  <c:v>266</c:v>
                </c:pt>
                <c:pt idx="29">
                  <c:v>269</c:v>
                </c:pt>
                <c:pt idx="30">
                  <c:v>271</c:v>
                </c:pt>
                <c:pt idx="31">
                  <c:v>288</c:v>
                </c:pt>
                <c:pt idx="32">
                  <c:v>299</c:v>
                </c:pt>
                <c:pt idx="33">
                  <c:v>307</c:v>
                </c:pt>
                <c:pt idx="34">
                  <c:v>312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DA-4FB1-8D48-A3FBABF89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768608"/>
        <c:axId val="901769440"/>
      </c:scatterChart>
      <c:valAx>
        <c:axId val="90176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Volume</a:t>
                </a:r>
                <a:r>
                  <a:rPr lang="en-IN" baseline="0"/>
                  <a:t> of HCl added in ml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769440"/>
        <c:crosses val="autoZero"/>
        <c:crossBetween val="midCat"/>
      </c:valAx>
      <c:valAx>
        <c:axId val="9017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Emf</a:t>
                </a:r>
                <a:r>
                  <a:rPr lang="en-IN" baseline="0"/>
                  <a:t> in mvolt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76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plot</a:t>
            </a:r>
            <a:r>
              <a:rPr lang="en-IN" baseline="0"/>
              <a:t> of corresponding to differential values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84247927358862"/>
          <c:y val="1.410502092840784E-2"/>
          <c:w val="0.87731271471562111"/>
          <c:h val="0.7907208343949302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Sheet1!$D$3:$D$40</c:f>
              <c:numCache>
                <c:formatCode>General</c:formatCode>
                <c:ptCount val="3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11.2</c:v>
                </c:pt>
                <c:pt idx="7">
                  <c:v>11.4</c:v>
                </c:pt>
                <c:pt idx="8">
                  <c:v>11.6</c:v>
                </c:pt>
                <c:pt idx="9">
                  <c:v>11.8</c:v>
                </c:pt>
                <c:pt idx="10">
                  <c:v>12</c:v>
                </c:pt>
                <c:pt idx="11">
                  <c:v>12.2</c:v>
                </c:pt>
                <c:pt idx="12">
                  <c:v>12.4</c:v>
                </c:pt>
                <c:pt idx="13">
                  <c:v>12.6</c:v>
                </c:pt>
                <c:pt idx="14">
                  <c:v>12.8</c:v>
                </c:pt>
                <c:pt idx="15">
                  <c:v>13</c:v>
                </c:pt>
                <c:pt idx="16">
                  <c:v>15</c:v>
                </c:pt>
                <c:pt idx="17">
                  <c:v>17</c:v>
                </c:pt>
                <c:pt idx="18">
                  <c:v>19</c:v>
                </c:pt>
                <c:pt idx="19">
                  <c:v>21</c:v>
                </c:pt>
                <c:pt idx="20">
                  <c:v>22</c:v>
                </c:pt>
                <c:pt idx="21">
                  <c:v>22.2</c:v>
                </c:pt>
                <c:pt idx="22">
                  <c:v>22.4</c:v>
                </c:pt>
                <c:pt idx="23">
                  <c:v>22.6</c:v>
                </c:pt>
                <c:pt idx="24">
                  <c:v>22.8</c:v>
                </c:pt>
                <c:pt idx="25">
                  <c:v>23</c:v>
                </c:pt>
                <c:pt idx="26">
                  <c:v>23.2</c:v>
                </c:pt>
                <c:pt idx="27">
                  <c:v>23.4</c:v>
                </c:pt>
                <c:pt idx="28">
                  <c:v>23.6</c:v>
                </c:pt>
                <c:pt idx="29">
                  <c:v>23.8</c:v>
                </c:pt>
                <c:pt idx="30">
                  <c:v>24</c:v>
                </c:pt>
                <c:pt idx="31">
                  <c:v>26</c:v>
                </c:pt>
                <c:pt idx="32">
                  <c:v>28</c:v>
                </c:pt>
                <c:pt idx="33">
                  <c:v>30</c:v>
                </c:pt>
                <c:pt idx="34">
                  <c:v>32</c:v>
                </c:pt>
              </c:numCache>
            </c:numRef>
          </c:xVal>
          <c:yVal>
            <c:numRef>
              <c:f>Sheet1!$E$3:$E$40</c:f>
              <c:numCache>
                <c:formatCode>General</c:formatCode>
                <c:ptCount val="38"/>
                <c:pt idx="1">
                  <c:v>11</c:v>
                </c:pt>
                <c:pt idx="2">
                  <c:v>9</c:v>
                </c:pt>
                <c:pt idx="3">
                  <c:v>5.5</c:v>
                </c:pt>
                <c:pt idx="4">
                  <c:v>7.5</c:v>
                </c:pt>
                <c:pt idx="5">
                  <c:v>33</c:v>
                </c:pt>
                <c:pt idx="6">
                  <c:v>225</c:v>
                </c:pt>
                <c:pt idx="7">
                  <c:v>190</c:v>
                </c:pt>
                <c:pt idx="8">
                  <c:v>25</c:v>
                </c:pt>
                <c:pt idx="9">
                  <c:v>30</c:v>
                </c:pt>
                <c:pt idx="10">
                  <c:v>20</c:v>
                </c:pt>
                <c:pt idx="11">
                  <c:v>30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12.5</c:v>
                </c:pt>
                <c:pt idx="17">
                  <c:v>7</c:v>
                </c:pt>
                <c:pt idx="18">
                  <c:v>10</c:v>
                </c:pt>
                <c:pt idx="19">
                  <c:v>16</c:v>
                </c:pt>
                <c:pt idx="20">
                  <c:v>35</c:v>
                </c:pt>
                <c:pt idx="21">
                  <c:v>105</c:v>
                </c:pt>
                <c:pt idx="22">
                  <c:v>190</c:v>
                </c:pt>
                <c:pt idx="23">
                  <c:v>95</c:v>
                </c:pt>
                <c:pt idx="24">
                  <c:v>55</c:v>
                </c:pt>
                <c:pt idx="25">
                  <c:v>55</c:v>
                </c:pt>
                <c:pt idx="26">
                  <c:v>30</c:v>
                </c:pt>
                <c:pt idx="27">
                  <c:v>20</c:v>
                </c:pt>
                <c:pt idx="28">
                  <c:v>35</c:v>
                </c:pt>
                <c:pt idx="29">
                  <c:v>15</c:v>
                </c:pt>
                <c:pt idx="30">
                  <c:v>10</c:v>
                </c:pt>
                <c:pt idx="31">
                  <c:v>8.5</c:v>
                </c:pt>
                <c:pt idx="32">
                  <c:v>5.5</c:v>
                </c:pt>
                <c:pt idx="33">
                  <c:v>4</c:v>
                </c:pt>
                <c:pt idx="34">
                  <c:v>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C6-4106-916F-7E8BF15C1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1115520"/>
        <c:axId val="883777728"/>
      </c:scatterChart>
      <c:valAx>
        <c:axId val="76111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volume</a:t>
                </a:r>
                <a:r>
                  <a:rPr lang="en-IN" baseline="0"/>
                  <a:t> of Hcl added in ml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777728"/>
        <c:crosses val="autoZero"/>
        <c:crossBetween val="midCat"/>
      </c:valAx>
      <c:valAx>
        <c:axId val="88377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Calibri" panose="020F0502020204030204" pitchFamily="34" charset="0"/>
                    <a:cs typeface="Calibri" panose="020F0502020204030204" pitchFamily="34" charset="0"/>
                  </a:rPr>
                  <a:t>ΔEMF/</a:t>
                </a:r>
                <a:r>
                  <a:rPr lang="el-GR">
                    <a:latin typeface="Calibri" panose="020F0502020204030204" pitchFamily="34" charset="0"/>
                    <a:cs typeface="Calibri" panose="020F0502020204030204" pitchFamily="34" charset="0"/>
                  </a:rPr>
                  <a:t>Δ</a:t>
                </a:r>
                <a:r>
                  <a:rPr lang="en-US">
                    <a:latin typeface="Calibri" panose="020F0502020204030204" pitchFamily="34" charset="0"/>
                    <a:cs typeface="Calibri" panose="020F0502020204030204" pitchFamily="34" charset="0"/>
                  </a:rPr>
                  <a:t>V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11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0.37939</cdr:x>
      <cdr:y>0.15175</cdr:y>
    </cdr:from>
    <cdr:to>
      <cdr:x>0.38204</cdr:x>
      <cdr:y>0.8077</cdr:y>
    </cdr:to>
    <cdr:cxnSp macro="">
      <cdr:nvCxnSpPr>
        <cdr:cNvPr id="17" name="Straight Arrow Connector 16">
          <a:extLst xmlns:a="http://schemas.openxmlformats.org/drawingml/2006/main">
            <a:ext uri="{FF2B5EF4-FFF2-40B4-BE49-F238E27FC236}">
              <a16:creationId xmlns:a16="http://schemas.microsoft.com/office/drawing/2014/main" id="{638FCB66-76D6-4946-9D73-6BC3D2548913}"/>
            </a:ext>
          </a:extLst>
        </cdr:cNvPr>
        <cdr:cNvCxnSpPr>
          <a:stCxn xmlns:a="http://schemas.openxmlformats.org/drawingml/2006/main" id="24" idx="1"/>
        </cdr:cNvCxnSpPr>
      </cdr:nvCxnSpPr>
      <cdr:spPr>
        <a:xfrm xmlns:a="http://schemas.openxmlformats.org/drawingml/2006/main">
          <a:off x="2174478" y="707003"/>
          <a:ext cx="15189" cy="3056067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accent2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0.6587</cdr:x>
      <cdr:y>0.29291</cdr:y>
    </cdr:from>
    <cdr:to>
      <cdr:x>0.66591</cdr:x>
      <cdr:y>0.80414</cdr:y>
    </cdr:to>
    <cdr:cxnSp macro="">
      <cdr:nvCxnSpPr>
        <cdr:cNvPr id="20" name="Straight Arrow Connector 19">
          <a:extLst xmlns:a="http://schemas.openxmlformats.org/drawingml/2006/main">
            <a:ext uri="{FF2B5EF4-FFF2-40B4-BE49-F238E27FC236}">
              <a16:creationId xmlns:a16="http://schemas.microsoft.com/office/drawing/2014/main" id="{A798B8D1-3263-40EE-A7F6-69F601BE1E32}"/>
            </a:ext>
          </a:extLst>
        </cdr:cNvPr>
        <cdr:cNvCxnSpPr/>
      </cdr:nvCxnSpPr>
      <cdr:spPr>
        <a:xfrm xmlns:a="http://schemas.openxmlformats.org/drawingml/2006/main">
          <a:off x="3775364" y="1364673"/>
          <a:ext cx="41306" cy="2381811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C0000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0.67653</cdr:x>
      <cdr:y>0.20505</cdr:y>
    </cdr:from>
    <cdr:to>
      <cdr:x>0.81183</cdr:x>
      <cdr:y>0.24071</cdr:y>
    </cdr:to>
    <cdr:sp macro="" textlink="">
      <cdr:nvSpPr>
        <cdr:cNvPr id="21" name="TextBox 20">
          <a:extLst xmlns:a="http://schemas.openxmlformats.org/drawingml/2006/main">
            <a:ext uri="{FF2B5EF4-FFF2-40B4-BE49-F238E27FC236}">
              <a16:creationId xmlns:a16="http://schemas.microsoft.com/office/drawing/2014/main" id="{B54C6660-9C48-49B3-811F-35AB1BAF7BCD}"/>
            </a:ext>
          </a:extLst>
        </cdr:cNvPr>
        <cdr:cNvSpPr txBox="1"/>
      </cdr:nvSpPr>
      <cdr:spPr>
        <a:xfrm xmlns:a="http://schemas.openxmlformats.org/drawingml/2006/main">
          <a:off x="4572000" y="1030942"/>
          <a:ext cx="914400" cy="1792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  <cdr:relSizeAnchor xmlns:cdr="http://schemas.openxmlformats.org/drawingml/2006/chartDrawing">
    <cdr:from>
      <cdr:x>0.38204</cdr:x>
      <cdr:y>0.1052</cdr:y>
    </cdr:from>
    <cdr:to>
      <cdr:x>0.49612</cdr:x>
      <cdr:y>0.16225</cdr:y>
    </cdr:to>
    <cdr:sp macro="" textlink="">
      <cdr:nvSpPr>
        <cdr:cNvPr id="22" name="TextBox 21">
          <a:extLst xmlns:a="http://schemas.openxmlformats.org/drawingml/2006/main">
            <a:ext uri="{FF2B5EF4-FFF2-40B4-BE49-F238E27FC236}">
              <a16:creationId xmlns:a16="http://schemas.microsoft.com/office/drawing/2014/main" id="{0521809F-A0B5-4EAA-9B7D-0F3BB73D500E}"/>
            </a:ext>
          </a:extLst>
        </cdr:cNvPr>
        <cdr:cNvSpPr txBox="1"/>
      </cdr:nvSpPr>
      <cdr:spPr>
        <a:xfrm xmlns:a="http://schemas.openxmlformats.org/drawingml/2006/main">
          <a:off x="2581835" y="528918"/>
          <a:ext cx="770965" cy="2868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  <cdr:relSizeAnchor xmlns:cdr="http://schemas.openxmlformats.org/drawingml/2006/chartDrawing">
    <cdr:from>
      <cdr:x>0.39</cdr:x>
      <cdr:y>0.01305</cdr:y>
    </cdr:from>
    <cdr:to>
      <cdr:x>0.5253</cdr:x>
      <cdr:y>0.17949</cdr:y>
    </cdr:to>
    <cdr:sp macro="" textlink="">
      <cdr:nvSpPr>
        <cdr:cNvPr id="23" name="TextBox 22">
          <a:extLst xmlns:a="http://schemas.openxmlformats.org/drawingml/2006/main">
            <a:ext uri="{FF2B5EF4-FFF2-40B4-BE49-F238E27FC236}">
              <a16:creationId xmlns:a16="http://schemas.microsoft.com/office/drawing/2014/main" id="{45ED29FB-B988-41AB-820A-AC6697B32116}"/>
            </a:ext>
          </a:extLst>
        </cdr:cNvPr>
        <cdr:cNvSpPr txBox="1"/>
      </cdr:nvSpPr>
      <cdr:spPr>
        <a:xfrm xmlns:a="http://schemas.openxmlformats.org/drawingml/2006/main">
          <a:off x="2635624" y="7171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  <cdr:relSizeAnchor xmlns:cdr="http://schemas.openxmlformats.org/drawingml/2006/chartDrawing">
    <cdr:from>
      <cdr:x>0.37939</cdr:x>
      <cdr:y>0.06853</cdr:y>
    </cdr:from>
    <cdr:to>
      <cdr:x>0.51469</cdr:x>
      <cdr:y>0.23497</cdr:y>
    </cdr:to>
    <cdr:sp macro="" textlink="">
      <cdr:nvSpPr>
        <cdr:cNvPr id="24" name="TextBox 23">
          <a:extLst xmlns:a="http://schemas.openxmlformats.org/drawingml/2006/main">
            <a:ext uri="{FF2B5EF4-FFF2-40B4-BE49-F238E27FC236}">
              <a16:creationId xmlns:a16="http://schemas.microsoft.com/office/drawing/2014/main" id="{BB00DFBC-A40E-46E6-92B0-67EBD27D2026}"/>
            </a:ext>
          </a:extLst>
        </cdr:cNvPr>
        <cdr:cNvSpPr txBox="1"/>
      </cdr:nvSpPr>
      <cdr:spPr>
        <a:xfrm xmlns:a="http://schemas.openxmlformats.org/drawingml/2006/main">
          <a:off x="2563906" y="37651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IN" sz="1100"/>
            <a:t>11.2, 225</a:t>
          </a:r>
        </a:p>
      </cdr:txBody>
    </cdr:sp>
  </cdr:relSizeAnchor>
  <cdr:relSizeAnchor xmlns:cdr="http://schemas.openxmlformats.org/drawingml/2006/chartDrawing">
    <cdr:from>
      <cdr:x>0.66326</cdr:x>
      <cdr:y>0.17133</cdr:y>
    </cdr:from>
    <cdr:to>
      <cdr:x>0.79857</cdr:x>
      <cdr:y>0.33777</cdr:y>
    </cdr:to>
    <cdr:sp macro="" textlink="">
      <cdr:nvSpPr>
        <cdr:cNvPr id="25" name="TextBox 24">
          <a:extLst xmlns:a="http://schemas.openxmlformats.org/drawingml/2006/main">
            <a:ext uri="{FF2B5EF4-FFF2-40B4-BE49-F238E27FC236}">
              <a16:creationId xmlns:a16="http://schemas.microsoft.com/office/drawing/2014/main" id="{2D5FBDB7-4CD7-4296-8CB1-4F826D1E848B}"/>
            </a:ext>
          </a:extLst>
        </cdr:cNvPr>
        <cdr:cNvSpPr txBox="1"/>
      </cdr:nvSpPr>
      <cdr:spPr>
        <a:xfrm xmlns:a="http://schemas.openxmlformats.org/drawingml/2006/main">
          <a:off x="4482353" y="94129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IN" sz="1100"/>
            <a:t>22.4,</a:t>
          </a:r>
          <a:r>
            <a:rPr lang="en-IN" sz="1100" baseline="0"/>
            <a:t> 190</a:t>
          </a:r>
          <a:endParaRPr lang="en-IN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3</cp:revision>
  <dcterms:created xsi:type="dcterms:W3CDTF">2022-01-07T06:44:00Z</dcterms:created>
  <dcterms:modified xsi:type="dcterms:W3CDTF">2022-01-07T07:18:00Z</dcterms:modified>
</cp:coreProperties>
</file>