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98E98" w14:textId="77777777" w:rsidR="001B6A5A" w:rsidRPr="001B6A5A" w:rsidRDefault="001B6A5A" w:rsidP="001B6A5A">
      <w:pPr>
        <w:jc w:val="center"/>
        <w:rPr>
          <w:b/>
          <w:bCs/>
          <w:sz w:val="40"/>
          <w:szCs w:val="40"/>
        </w:rPr>
      </w:pPr>
      <w:r w:rsidRPr="001B6A5A">
        <w:rPr>
          <w:b/>
          <w:bCs/>
          <w:sz w:val="40"/>
          <w:szCs w:val="40"/>
        </w:rPr>
        <w:t>Executive Summary: Customer Churn Analysis</w:t>
      </w:r>
    </w:p>
    <w:p w14:paraId="0B404CA4" w14:textId="77777777" w:rsidR="001B6A5A" w:rsidRPr="001B6A5A" w:rsidRDefault="001B6A5A" w:rsidP="001B6A5A">
      <w:r w:rsidRPr="001B6A5A">
        <w:t>The customer churn analysis delves into various factors contributing to customer attrition using visualizations and key metrics. This analysis provides actionable insights to reduce churn and enhance customer retention. Key findings include:</w:t>
      </w:r>
    </w:p>
    <w:p w14:paraId="3CC8E6E0" w14:textId="77777777" w:rsidR="001B6A5A" w:rsidRPr="001B6A5A" w:rsidRDefault="001B6A5A" w:rsidP="001B6A5A">
      <w:r w:rsidRPr="001B6A5A">
        <w:pict w14:anchorId="7B646B09">
          <v:rect id="_x0000_i1067" style="width:0;height:1.5pt" o:hralign="center" o:hrstd="t" o:hr="t" fillcolor="#a0a0a0" stroked="f"/>
        </w:pict>
      </w:r>
    </w:p>
    <w:p w14:paraId="024DFB2B" w14:textId="77777777" w:rsidR="001B6A5A" w:rsidRPr="001B6A5A" w:rsidRDefault="001B6A5A" w:rsidP="001B6A5A">
      <w:pPr>
        <w:rPr>
          <w:b/>
          <w:bCs/>
        </w:rPr>
      </w:pPr>
      <w:r w:rsidRPr="001B6A5A">
        <w:rPr>
          <w:b/>
          <w:bCs/>
        </w:rPr>
        <w:t>1. Customer Demographics and Churn Trends</w:t>
      </w:r>
    </w:p>
    <w:p w14:paraId="04A9414B" w14:textId="77777777" w:rsidR="001B6A5A" w:rsidRPr="001B6A5A" w:rsidRDefault="001B6A5A" w:rsidP="001B6A5A">
      <w:pPr>
        <w:numPr>
          <w:ilvl w:val="0"/>
          <w:numId w:val="1"/>
        </w:numPr>
      </w:pPr>
      <w:r w:rsidRPr="001B6A5A">
        <w:rPr>
          <w:b/>
          <w:bCs/>
        </w:rPr>
        <w:t>Gender and Churn</w:t>
      </w:r>
      <w:r w:rsidRPr="001B6A5A">
        <w:t>:</w:t>
      </w:r>
      <w:r w:rsidRPr="001B6A5A">
        <w:br/>
        <w:t xml:space="preserve">Churn rates are nearly evenly distributed between genders, with </w:t>
      </w:r>
      <w:r w:rsidRPr="001B6A5A">
        <w:rPr>
          <w:b/>
          <w:bCs/>
        </w:rPr>
        <w:t>male and female customers showing churn rates of approximately 26% each</w:t>
      </w:r>
      <w:r w:rsidRPr="001B6A5A">
        <w:t xml:space="preserve">, indicating no strong gender-specific patterns in churn </w:t>
      </w:r>
      <w:proofErr w:type="spellStart"/>
      <w:r w:rsidRPr="001B6A5A">
        <w:t>behavior</w:t>
      </w:r>
      <w:proofErr w:type="spellEnd"/>
      <w:r w:rsidRPr="001B6A5A">
        <w:t>.</w:t>
      </w:r>
    </w:p>
    <w:p w14:paraId="6C3A9537" w14:textId="77777777" w:rsidR="001B6A5A" w:rsidRPr="001B6A5A" w:rsidRDefault="001B6A5A" w:rsidP="001B6A5A">
      <w:pPr>
        <w:numPr>
          <w:ilvl w:val="0"/>
          <w:numId w:val="1"/>
        </w:numPr>
      </w:pPr>
      <w:r w:rsidRPr="001B6A5A">
        <w:rPr>
          <w:b/>
          <w:bCs/>
        </w:rPr>
        <w:t>Senior Citizens</w:t>
      </w:r>
      <w:r w:rsidRPr="001B6A5A">
        <w:t>:</w:t>
      </w:r>
      <w:r w:rsidRPr="001B6A5A">
        <w:br/>
        <w:t>Senior citizens churn at a significantly higher rate (</w:t>
      </w:r>
      <w:r w:rsidRPr="001B6A5A">
        <w:rPr>
          <w:b/>
          <w:bCs/>
        </w:rPr>
        <w:t>42%</w:t>
      </w:r>
      <w:r w:rsidRPr="001B6A5A">
        <w:t>) than non-senior citizens (</w:t>
      </w:r>
      <w:r w:rsidRPr="001B6A5A">
        <w:rPr>
          <w:b/>
          <w:bCs/>
        </w:rPr>
        <w:t>24%</w:t>
      </w:r>
      <w:r w:rsidRPr="001B6A5A">
        <w:t>). This highlights an opportunity for age-specific retention strategies, such as customized offers for senior customers.</w:t>
      </w:r>
    </w:p>
    <w:p w14:paraId="1E7B4DF1" w14:textId="77777777" w:rsidR="001B6A5A" w:rsidRPr="001B6A5A" w:rsidRDefault="001B6A5A" w:rsidP="001B6A5A">
      <w:r w:rsidRPr="001B6A5A">
        <w:pict w14:anchorId="566B3087">
          <v:rect id="_x0000_i1068" style="width:0;height:1.5pt" o:hralign="center" o:hrstd="t" o:hr="t" fillcolor="#a0a0a0" stroked="f"/>
        </w:pict>
      </w:r>
    </w:p>
    <w:p w14:paraId="7B69E18D" w14:textId="77777777" w:rsidR="001B6A5A" w:rsidRPr="001B6A5A" w:rsidRDefault="001B6A5A" w:rsidP="001B6A5A">
      <w:pPr>
        <w:rPr>
          <w:b/>
          <w:bCs/>
        </w:rPr>
      </w:pPr>
      <w:r w:rsidRPr="001B6A5A">
        <w:rPr>
          <w:b/>
          <w:bCs/>
        </w:rPr>
        <w:t>2. Contract Types and Churn</w:t>
      </w:r>
    </w:p>
    <w:p w14:paraId="27FED79C" w14:textId="77777777" w:rsidR="001B6A5A" w:rsidRPr="001B6A5A" w:rsidRDefault="001B6A5A" w:rsidP="001B6A5A">
      <w:pPr>
        <w:numPr>
          <w:ilvl w:val="0"/>
          <w:numId w:val="2"/>
        </w:numPr>
      </w:pPr>
      <w:r w:rsidRPr="001B6A5A">
        <w:rPr>
          <w:b/>
          <w:bCs/>
        </w:rPr>
        <w:t>Month-to-Month Contracts</w:t>
      </w:r>
      <w:r w:rsidRPr="001B6A5A">
        <w:t>:</w:t>
      </w:r>
      <w:r w:rsidRPr="001B6A5A">
        <w:br/>
        <w:t>Customers with month-to-month contracts show the highest churn rate (</w:t>
      </w:r>
      <w:r w:rsidRPr="001B6A5A">
        <w:rPr>
          <w:b/>
          <w:bCs/>
        </w:rPr>
        <w:t>43%</w:t>
      </w:r>
      <w:r w:rsidRPr="001B6A5A">
        <w:t>), compared to significantly lower churn rates for one-year (</w:t>
      </w:r>
      <w:r w:rsidRPr="001B6A5A">
        <w:rPr>
          <w:b/>
          <w:bCs/>
        </w:rPr>
        <w:t>11%</w:t>
      </w:r>
      <w:r w:rsidRPr="001B6A5A">
        <w:t>) and two-year contracts (</w:t>
      </w:r>
      <w:r w:rsidRPr="001B6A5A">
        <w:rPr>
          <w:b/>
          <w:bCs/>
        </w:rPr>
        <w:t>3%</w:t>
      </w:r>
      <w:r w:rsidRPr="001B6A5A">
        <w:t>). This trend suggests that customers with shorter commitments are more prone to attrition.</w:t>
      </w:r>
    </w:p>
    <w:p w14:paraId="76A23909" w14:textId="77777777" w:rsidR="001B6A5A" w:rsidRPr="001B6A5A" w:rsidRDefault="001B6A5A" w:rsidP="001B6A5A">
      <w:pPr>
        <w:numPr>
          <w:ilvl w:val="0"/>
          <w:numId w:val="2"/>
        </w:numPr>
      </w:pPr>
      <w:r w:rsidRPr="001B6A5A">
        <w:rPr>
          <w:b/>
          <w:bCs/>
        </w:rPr>
        <w:t>Recommendation</w:t>
      </w:r>
      <w:r w:rsidRPr="001B6A5A">
        <w:t>: Prioritize converting month-to-month customers into longer-term contracts through loyalty discounts or bundling services.</w:t>
      </w:r>
    </w:p>
    <w:p w14:paraId="48730568" w14:textId="77777777" w:rsidR="001B6A5A" w:rsidRPr="001B6A5A" w:rsidRDefault="001B6A5A" w:rsidP="001B6A5A">
      <w:r w:rsidRPr="001B6A5A">
        <w:pict w14:anchorId="69319969">
          <v:rect id="_x0000_i1069" style="width:0;height:1.5pt" o:hralign="center" o:hrstd="t" o:hr="t" fillcolor="#a0a0a0" stroked="f"/>
        </w:pict>
      </w:r>
    </w:p>
    <w:p w14:paraId="7FA3396C" w14:textId="77777777" w:rsidR="001B6A5A" w:rsidRPr="001B6A5A" w:rsidRDefault="001B6A5A" w:rsidP="001B6A5A">
      <w:pPr>
        <w:rPr>
          <w:b/>
          <w:bCs/>
        </w:rPr>
      </w:pPr>
      <w:r w:rsidRPr="001B6A5A">
        <w:rPr>
          <w:b/>
          <w:bCs/>
        </w:rPr>
        <w:t>3. Payment Methods and Churn</w:t>
      </w:r>
    </w:p>
    <w:p w14:paraId="33DEF1DA" w14:textId="77777777" w:rsidR="001B6A5A" w:rsidRPr="001B6A5A" w:rsidRDefault="001B6A5A" w:rsidP="001B6A5A">
      <w:pPr>
        <w:numPr>
          <w:ilvl w:val="0"/>
          <w:numId w:val="3"/>
        </w:numPr>
      </w:pPr>
      <w:r w:rsidRPr="001B6A5A">
        <w:rPr>
          <w:b/>
          <w:bCs/>
        </w:rPr>
        <w:t>Electronic Check</w:t>
      </w:r>
      <w:r w:rsidRPr="001B6A5A">
        <w:t>:</w:t>
      </w:r>
      <w:r w:rsidRPr="001B6A5A">
        <w:br/>
        <w:t>Customers using electronic checks exhibit the highest churn rate (</w:t>
      </w:r>
      <w:r w:rsidRPr="001B6A5A">
        <w:rPr>
          <w:b/>
          <w:bCs/>
        </w:rPr>
        <w:t>45%</w:t>
      </w:r>
      <w:r w:rsidRPr="001B6A5A">
        <w:t>), compared to other payment methods such as credit cards (</w:t>
      </w:r>
      <w:r w:rsidRPr="001B6A5A">
        <w:rPr>
          <w:b/>
          <w:bCs/>
        </w:rPr>
        <w:t>23%</w:t>
      </w:r>
      <w:r w:rsidRPr="001B6A5A">
        <w:t>), bank transfers (</w:t>
      </w:r>
      <w:r w:rsidRPr="001B6A5A">
        <w:rPr>
          <w:b/>
          <w:bCs/>
        </w:rPr>
        <w:t>22%</w:t>
      </w:r>
      <w:r w:rsidRPr="001B6A5A">
        <w:t>), and mailed checks (</w:t>
      </w:r>
      <w:r w:rsidRPr="001B6A5A">
        <w:rPr>
          <w:b/>
          <w:bCs/>
        </w:rPr>
        <w:t>19%</w:t>
      </w:r>
      <w:r w:rsidRPr="001B6A5A">
        <w:t>).</w:t>
      </w:r>
    </w:p>
    <w:p w14:paraId="0AF0F75D" w14:textId="77777777" w:rsidR="001B6A5A" w:rsidRPr="001B6A5A" w:rsidRDefault="001B6A5A" w:rsidP="001B6A5A">
      <w:pPr>
        <w:numPr>
          <w:ilvl w:val="1"/>
          <w:numId w:val="3"/>
        </w:numPr>
      </w:pPr>
      <w:r w:rsidRPr="001B6A5A">
        <w:t>This trend highlights potential dissatisfaction with the electronic check payment method or a lack of convenience associated with it.</w:t>
      </w:r>
    </w:p>
    <w:p w14:paraId="594E62FB" w14:textId="77777777" w:rsidR="001B6A5A" w:rsidRPr="001B6A5A" w:rsidRDefault="001B6A5A" w:rsidP="001B6A5A">
      <w:pPr>
        <w:numPr>
          <w:ilvl w:val="0"/>
          <w:numId w:val="3"/>
        </w:numPr>
      </w:pPr>
      <w:r w:rsidRPr="001B6A5A">
        <w:rPr>
          <w:b/>
          <w:bCs/>
        </w:rPr>
        <w:t>Recommendation</w:t>
      </w:r>
      <w:r w:rsidRPr="001B6A5A">
        <w:t>: Investigate the electronic check experience and offer alternate, more seamless payment options.</w:t>
      </w:r>
    </w:p>
    <w:p w14:paraId="2F3819DE" w14:textId="77777777" w:rsidR="001B6A5A" w:rsidRPr="001B6A5A" w:rsidRDefault="001B6A5A" w:rsidP="001B6A5A">
      <w:r w:rsidRPr="001B6A5A">
        <w:lastRenderedPageBreak/>
        <w:pict w14:anchorId="2ED74057">
          <v:rect id="_x0000_i1070" style="width:0;height:1.5pt" o:hralign="center" o:hrstd="t" o:hr="t" fillcolor="#a0a0a0" stroked="f"/>
        </w:pict>
      </w:r>
    </w:p>
    <w:p w14:paraId="16451598" w14:textId="77777777" w:rsidR="001B6A5A" w:rsidRPr="001B6A5A" w:rsidRDefault="001B6A5A" w:rsidP="001B6A5A">
      <w:pPr>
        <w:rPr>
          <w:b/>
          <w:bCs/>
        </w:rPr>
      </w:pPr>
      <w:r w:rsidRPr="001B6A5A">
        <w:rPr>
          <w:b/>
          <w:bCs/>
        </w:rPr>
        <w:t>4. Tenure and Churn</w:t>
      </w:r>
    </w:p>
    <w:p w14:paraId="735A27AE" w14:textId="77777777" w:rsidR="001B6A5A" w:rsidRPr="001B6A5A" w:rsidRDefault="001B6A5A" w:rsidP="001B6A5A">
      <w:pPr>
        <w:numPr>
          <w:ilvl w:val="0"/>
          <w:numId w:val="4"/>
        </w:numPr>
      </w:pPr>
      <w:r w:rsidRPr="001B6A5A">
        <w:rPr>
          <w:b/>
          <w:bCs/>
        </w:rPr>
        <w:t>Short Tenure Impact</w:t>
      </w:r>
      <w:r w:rsidRPr="001B6A5A">
        <w:t>:</w:t>
      </w:r>
    </w:p>
    <w:p w14:paraId="64B138A4" w14:textId="77777777" w:rsidR="001B6A5A" w:rsidRPr="001B6A5A" w:rsidRDefault="001B6A5A" w:rsidP="001B6A5A">
      <w:pPr>
        <w:numPr>
          <w:ilvl w:val="1"/>
          <w:numId w:val="4"/>
        </w:numPr>
      </w:pPr>
      <w:r w:rsidRPr="001B6A5A">
        <w:t xml:space="preserve">Customers with a tenure of less than one year churn at a significantly high rate of </w:t>
      </w:r>
      <w:r w:rsidRPr="001B6A5A">
        <w:rPr>
          <w:b/>
          <w:bCs/>
        </w:rPr>
        <w:t>45%</w:t>
      </w:r>
      <w:r w:rsidRPr="001B6A5A">
        <w:t>, highlighting the importance of the initial months of engagement.</w:t>
      </w:r>
    </w:p>
    <w:p w14:paraId="7DD6E449" w14:textId="77777777" w:rsidR="001B6A5A" w:rsidRPr="001B6A5A" w:rsidRDefault="001B6A5A" w:rsidP="001B6A5A">
      <w:pPr>
        <w:numPr>
          <w:ilvl w:val="1"/>
          <w:numId w:val="4"/>
        </w:numPr>
      </w:pPr>
      <w:r w:rsidRPr="001B6A5A">
        <w:t xml:space="preserve">Conversely, customers with a tenure of more than three years have a churn rate of just </w:t>
      </w:r>
      <w:r w:rsidRPr="001B6A5A">
        <w:rPr>
          <w:b/>
          <w:bCs/>
        </w:rPr>
        <w:t>11%</w:t>
      </w:r>
      <w:r w:rsidRPr="001B6A5A">
        <w:t>, indicating higher loyalty among long-term customers.</w:t>
      </w:r>
    </w:p>
    <w:p w14:paraId="3800B643" w14:textId="77777777" w:rsidR="001B6A5A" w:rsidRPr="001B6A5A" w:rsidRDefault="001B6A5A" w:rsidP="001B6A5A">
      <w:pPr>
        <w:numPr>
          <w:ilvl w:val="0"/>
          <w:numId w:val="4"/>
        </w:numPr>
      </w:pPr>
      <w:r w:rsidRPr="001B6A5A">
        <w:rPr>
          <w:b/>
          <w:bCs/>
        </w:rPr>
        <w:t>Recommendation</w:t>
      </w:r>
      <w:r w:rsidRPr="001B6A5A">
        <w:t>: Focus on onboarding experiences and early-stage customer engagement to build loyalty during the critical initial months.</w:t>
      </w:r>
    </w:p>
    <w:p w14:paraId="0E5CF7FE" w14:textId="77777777" w:rsidR="001B6A5A" w:rsidRPr="001B6A5A" w:rsidRDefault="001B6A5A" w:rsidP="001B6A5A">
      <w:r w:rsidRPr="001B6A5A">
        <w:pict w14:anchorId="12CC125D">
          <v:rect id="_x0000_i1071" style="width:0;height:1.5pt" o:hralign="center" o:hrstd="t" o:hr="t" fillcolor="#a0a0a0" stroked="f"/>
        </w:pict>
      </w:r>
    </w:p>
    <w:p w14:paraId="1FA281F9" w14:textId="77777777" w:rsidR="001B6A5A" w:rsidRPr="001B6A5A" w:rsidRDefault="001B6A5A" w:rsidP="001B6A5A">
      <w:pPr>
        <w:rPr>
          <w:b/>
          <w:bCs/>
        </w:rPr>
      </w:pPr>
      <w:r w:rsidRPr="001B6A5A">
        <w:rPr>
          <w:b/>
          <w:bCs/>
        </w:rPr>
        <w:t>5. Additional Visual Insights</w:t>
      </w:r>
    </w:p>
    <w:p w14:paraId="3860F7DD" w14:textId="77777777" w:rsidR="001B6A5A" w:rsidRPr="001B6A5A" w:rsidRDefault="001B6A5A" w:rsidP="001B6A5A">
      <w:pPr>
        <w:numPr>
          <w:ilvl w:val="0"/>
          <w:numId w:val="5"/>
        </w:numPr>
      </w:pPr>
      <w:r w:rsidRPr="001B6A5A">
        <w:rPr>
          <w:b/>
          <w:bCs/>
        </w:rPr>
        <w:t>Service Usage and Churn</w:t>
      </w:r>
      <w:r w:rsidRPr="001B6A5A">
        <w:t>:</w:t>
      </w:r>
    </w:p>
    <w:p w14:paraId="7B119AEB" w14:textId="77777777" w:rsidR="001B6A5A" w:rsidRPr="001B6A5A" w:rsidRDefault="001B6A5A" w:rsidP="001B6A5A">
      <w:pPr>
        <w:numPr>
          <w:ilvl w:val="1"/>
          <w:numId w:val="5"/>
        </w:numPr>
      </w:pPr>
      <w:r w:rsidRPr="001B6A5A">
        <w:t>Customers without additional services such as internet or phone services churn at a higher rate, suggesting a lack of perceived value.</w:t>
      </w:r>
    </w:p>
    <w:p w14:paraId="6D712E11" w14:textId="77777777" w:rsidR="001B6A5A" w:rsidRPr="001B6A5A" w:rsidRDefault="001B6A5A" w:rsidP="001B6A5A">
      <w:pPr>
        <w:numPr>
          <w:ilvl w:val="1"/>
          <w:numId w:val="5"/>
        </w:numPr>
      </w:pPr>
      <w:r w:rsidRPr="001B6A5A">
        <w:t>Specific add-ons like tech support and online security correlate with lower churn rates.</w:t>
      </w:r>
    </w:p>
    <w:p w14:paraId="2A013664" w14:textId="77777777" w:rsidR="001B6A5A" w:rsidRPr="001B6A5A" w:rsidRDefault="001B6A5A" w:rsidP="001B6A5A">
      <w:pPr>
        <w:numPr>
          <w:ilvl w:val="0"/>
          <w:numId w:val="5"/>
        </w:numPr>
      </w:pPr>
      <w:r w:rsidRPr="001B6A5A">
        <w:rPr>
          <w:b/>
          <w:bCs/>
        </w:rPr>
        <w:t>Geographic Patterns</w:t>
      </w:r>
      <w:r w:rsidRPr="001B6A5A">
        <w:t>:</w:t>
      </w:r>
    </w:p>
    <w:p w14:paraId="0B9069AE" w14:textId="77777777" w:rsidR="001B6A5A" w:rsidRPr="001B6A5A" w:rsidRDefault="001B6A5A" w:rsidP="001B6A5A">
      <w:pPr>
        <w:numPr>
          <w:ilvl w:val="1"/>
          <w:numId w:val="5"/>
        </w:numPr>
      </w:pPr>
      <w:r w:rsidRPr="001B6A5A">
        <w:t>Geographic analysis shows regional differences in churn rates, with certain areas experiencing churn rates higher than the average.</w:t>
      </w:r>
    </w:p>
    <w:p w14:paraId="3E32F966" w14:textId="77777777" w:rsidR="001B6A5A" w:rsidRPr="001B6A5A" w:rsidRDefault="001B6A5A" w:rsidP="001B6A5A">
      <w:r w:rsidRPr="001B6A5A">
        <w:pict w14:anchorId="39E93B93">
          <v:rect id="_x0000_i1072" style="width:0;height:1.5pt" o:hralign="center" o:hrstd="t" o:hr="t" fillcolor="#a0a0a0" stroked="f"/>
        </w:pict>
      </w:r>
    </w:p>
    <w:p w14:paraId="449698F1" w14:textId="77777777" w:rsidR="001B6A5A" w:rsidRPr="001B6A5A" w:rsidRDefault="001B6A5A" w:rsidP="001B6A5A">
      <w:pPr>
        <w:rPr>
          <w:b/>
          <w:bCs/>
        </w:rPr>
      </w:pPr>
      <w:r w:rsidRPr="001B6A5A">
        <w:rPr>
          <w:b/>
          <w:bCs/>
        </w:rPr>
        <w:t>6. Overall Churn Rate</w:t>
      </w:r>
    </w:p>
    <w:p w14:paraId="60763C0D" w14:textId="77777777" w:rsidR="001B6A5A" w:rsidRPr="001B6A5A" w:rsidRDefault="001B6A5A" w:rsidP="001B6A5A">
      <w:pPr>
        <w:numPr>
          <w:ilvl w:val="0"/>
          <w:numId w:val="6"/>
        </w:numPr>
      </w:pPr>
      <w:r w:rsidRPr="001B6A5A">
        <w:t xml:space="preserve">The overall churn rate is approximately </w:t>
      </w:r>
      <w:r w:rsidRPr="001B6A5A">
        <w:rPr>
          <w:b/>
          <w:bCs/>
        </w:rPr>
        <w:t>27%</w:t>
      </w:r>
      <w:r w:rsidRPr="001B6A5A">
        <w:t>, signifying that nearly one in four customers discontinue their services.</w:t>
      </w:r>
    </w:p>
    <w:p w14:paraId="32EAAB25" w14:textId="77777777" w:rsidR="001B6A5A" w:rsidRPr="001B6A5A" w:rsidRDefault="001B6A5A" w:rsidP="001B6A5A">
      <w:pPr>
        <w:numPr>
          <w:ilvl w:val="1"/>
          <w:numId w:val="6"/>
        </w:numPr>
      </w:pPr>
      <w:r w:rsidRPr="001B6A5A">
        <w:t>High churn rates in specific segments (e.g., month-to-month contracts and electronic check users) contribute significantly to this figure.</w:t>
      </w:r>
    </w:p>
    <w:p w14:paraId="6FB47DE9" w14:textId="77777777" w:rsidR="001B6A5A" w:rsidRPr="001B6A5A" w:rsidRDefault="001B6A5A" w:rsidP="001B6A5A">
      <w:r w:rsidRPr="001B6A5A">
        <w:pict w14:anchorId="439F3C50">
          <v:rect id="_x0000_i1073" style="width:0;height:1.5pt" o:hralign="center" o:hrstd="t" o:hr="t" fillcolor="#a0a0a0" stroked="f"/>
        </w:pict>
      </w:r>
    </w:p>
    <w:p w14:paraId="7A4F3AD1" w14:textId="77777777" w:rsidR="001B6A5A" w:rsidRPr="001B6A5A" w:rsidRDefault="001B6A5A" w:rsidP="001B6A5A">
      <w:pPr>
        <w:rPr>
          <w:b/>
          <w:bCs/>
        </w:rPr>
      </w:pPr>
      <w:r w:rsidRPr="001B6A5A">
        <w:rPr>
          <w:b/>
          <w:bCs/>
        </w:rPr>
        <w:t>Recommendations for Retention</w:t>
      </w:r>
    </w:p>
    <w:p w14:paraId="4C9068C6" w14:textId="77777777" w:rsidR="001B6A5A" w:rsidRPr="001B6A5A" w:rsidRDefault="001B6A5A" w:rsidP="001B6A5A">
      <w:pPr>
        <w:numPr>
          <w:ilvl w:val="0"/>
          <w:numId w:val="7"/>
        </w:numPr>
      </w:pPr>
      <w:r w:rsidRPr="001B6A5A">
        <w:rPr>
          <w:b/>
          <w:bCs/>
        </w:rPr>
        <w:t>Customer Engagement</w:t>
      </w:r>
      <w:r w:rsidRPr="001B6A5A">
        <w:t>: Enhance onboarding experiences for new customers, especially those on month-to-month contracts.</w:t>
      </w:r>
    </w:p>
    <w:p w14:paraId="5B104FB7" w14:textId="77777777" w:rsidR="001B6A5A" w:rsidRPr="001B6A5A" w:rsidRDefault="001B6A5A" w:rsidP="001B6A5A">
      <w:pPr>
        <w:numPr>
          <w:ilvl w:val="0"/>
          <w:numId w:val="7"/>
        </w:numPr>
      </w:pPr>
      <w:r w:rsidRPr="001B6A5A">
        <w:rPr>
          <w:b/>
          <w:bCs/>
        </w:rPr>
        <w:t>Payment Optimization</w:t>
      </w:r>
      <w:r w:rsidRPr="001B6A5A">
        <w:t>: Address issues with electronic check payments and promote alternative payment methods.</w:t>
      </w:r>
    </w:p>
    <w:p w14:paraId="1BCF0CE1" w14:textId="77777777" w:rsidR="001B6A5A" w:rsidRPr="001B6A5A" w:rsidRDefault="001B6A5A" w:rsidP="001B6A5A">
      <w:pPr>
        <w:numPr>
          <w:ilvl w:val="0"/>
          <w:numId w:val="7"/>
        </w:numPr>
      </w:pPr>
      <w:r w:rsidRPr="001B6A5A">
        <w:rPr>
          <w:b/>
          <w:bCs/>
        </w:rPr>
        <w:lastRenderedPageBreak/>
        <w:t>Targeted Incentives</w:t>
      </w:r>
      <w:r w:rsidRPr="001B6A5A">
        <w:t>: Develop loyalty programs targeting senior citizens and customers with shorter tenures.</w:t>
      </w:r>
    </w:p>
    <w:p w14:paraId="712DCEB4" w14:textId="77777777" w:rsidR="001B6A5A" w:rsidRPr="001B6A5A" w:rsidRDefault="001B6A5A" w:rsidP="001B6A5A">
      <w:pPr>
        <w:numPr>
          <w:ilvl w:val="0"/>
          <w:numId w:val="7"/>
        </w:numPr>
      </w:pPr>
      <w:r w:rsidRPr="001B6A5A">
        <w:rPr>
          <w:b/>
          <w:bCs/>
        </w:rPr>
        <w:t>Service Bundling</w:t>
      </w:r>
      <w:r w:rsidRPr="001B6A5A">
        <w:t>: Encourage uptake of additional services like online security and tech support to increase perceived value.</w:t>
      </w:r>
    </w:p>
    <w:p w14:paraId="265638E1" w14:textId="77777777" w:rsidR="001B6A5A" w:rsidRDefault="001B6A5A"/>
    <w:sectPr w:rsidR="001B6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60715"/>
    <w:multiLevelType w:val="multilevel"/>
    <w:tmpl w:val="C7FA4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00F39"/>
    <w:multiLevelType w:val="multilevel"/>
    <w:tmpl w:val="7EDC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0185A"/>
    <w:multiLevelType w:val="multilevel"/>
    <w:tmpl w:val="F3DC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D1013"/>
    <w:multiLevelType w:val="multilevel"/>
    <w:tmpl w:val="AB98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83055"/>
    <w:multiLevelType w:val="multilevel"/>
    <w:tmpl w:val="EAA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347E4"/>
    <w:multiLevelType w:val="multilevel"/>
    <w:tmpl w:val="784EC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40108"/>
    <w:multiLevelType w:val="multilevel"/>
    <w:tmpl w:val="694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062525">
    <w:abstractNumId w:val="6"/>
  </w:num>
  <w:num w:numId="2" w16cid:durableId="32702862">
    <w:abstractNumId w:val="4"/>
  </w:num>
  <w:num w:numId="3" w16cid:durableId="750925810">
    <w:abstractNumId w:val="2"/>
  </w:num>
  <w:num w:numId="4" w16cid:durableId="247226923">
    <w:abstractNumId w:val="5"/>
  </w:num>
  <w:num w:numId="5" w16cid:durableId="118034070">
    <w:abstractNumId w:val="0"/>
  </w:num>
  <w:num w:numId="6" w16cid:durableId="1743990748">
    <w:abstractNumId w:val="3"/>
  </w:num>
  <w:num w:numId="7" w16cid:durableId="1748650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A"/>
    <w:rsid w:val="000E3153"/>
    <w:rsid w:val="001B6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42E7"/>
  <w15:chartTrackingRefBased/>
  <w15:docId w15:val="{15BEAC01-6259-4F9B-A9E9-8BE0E15D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A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A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A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A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A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A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A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A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A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A5A"/>
    <w:rPr>
      <w:rFonts w:eastAsiaTheme="majorEastAsia" w:cstheme="majorBidi"/>
      <w:color w:val="272727" w:themeColor="text1" w:themeTint="D8"/>
    </w:rPr>
  </w:style>
  <w:style w:type="paragraph" w:styleId="Title">
    <w:name w:val="Title"/>
    <w:basedOn w:val="Normal"/>
    <w:next w:val="Normal"/>
    <w:link w:val="TitleChar"/>
    <w:uiPriority w:val="10"/>
    <w:qFormat/>
    <w:rsid w:val="001B6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A5A"/>
    <w:pPr>
      <w:spacing w:before="160"/>
      <w:jc w:val="center"/>
    </w:pPr>
    <w:rPr>
      <w:i/>
      <w:iCs/>
      <w:color w:val="404040" w:themeColor="text1" w:themeTint="BF"/>
    </w:rPr>
  </w:style>
  <w:style w:type="character" w:customStyle="1" w:styleId="QuoteChar">
    <w:name w:val="Quote Char"/>
    <w:basedOn w:val="DefaultParagraphFont"/>
    <w:link w:val="Quote"/>
    <w:uiPriority w:val="29"/>
    <w:rsid w:val="001B6A5A"/>
    <w:rPr>
      <w:i/>
      <w:iCs/>
      <w:color w:val="404040" w:themeColor="text1" w:themeTint="BF"/>
    </w:rPr>
  </w:style>
  <w:style w:type="paragraph" w:styleId="ListParagraph">
    <w:name w:val="List Paragraph"/>
    <w:basedOn w:val="Normal"/>
    <w:uiPriority w:val="34"/>
    <w:qFormat/>
    <w:rsid w:val="001B6A5A"/>
    <w:pPr>
      <w:ind w:left="720"/>
      <w:contextualSpacing/>
    </w:pPr>
  </w:style>
  <w:style w:type="character" w:styleId="IntenseEmphasis">
    <w:name w:val="Intense Emphasis"/>
    <w:basedOn w:val="DefaultParagraphFont"/>
    <w:uiPriority w:val="21"/>
    <w:qFormat/>
    <w:rsid w:val="001B6A5A"/>
    <w:rPr>
      <w:i/>
      <w:iCs/>
      <w:color w:val="2F5496" w:themeColor="accent1" w:themeShade="BF"/>
    </w:rPr>
  </w:style>
  <w:style w:type="paragraph" w:styleId="IntenseQuote">
    <w:name w:val="Intense Quote"/>
    <w:basedOn w:val="Normal"/>
    <w:next w:val="Normal"/>
    <w:link w:val="IntenseQuoteChar"/>
    <w:uiPriority w:val="30"/>
    <w:qFormat/>
    <w:rsid w:val="001B6A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A5A"/>
    <w:rPr>
      <w:i/>
      <w:iCs/>
      <w:color w:val="2F5496" w:themeColor="accent1" w:themeShade="BF"/>
    </w:rPr>
  </w:style>
  <w:style w:type="character" w:styleId="IntenseReference">
    <w:name w:val="Intense Reference"/>
    <w:basedOn w:val="DefaultParagraphFont"/>
    <w:uiPriority w:val="32"/>
    <w:qFormat/>
    <w:rsid w:val="001B6A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177907">
      <w:bodyDiv w:val="1"/>
      <w:marLeft w:val="0"/>
      <w:marRight w:val="0"/>
      <w:marTop w:val="0"/>
      <w:marBottom w:val="0"/>
      <w:divBdr>
        <w:top w:val="none" w:sz="0" w:space="0" w:color="auto"/>
        <w:left w:val="none" w:sz="0" w:space="0" w:color="auto"/>
        <w:bottom w:val="none" w:sz="0" w:space="0" w:color="auto"/>
        <w:right w:val="none" w:sz="0" w:space="0" w:color="auto"/>
      </w:divBdr>
    </w:div>
    <w:div w:id="197027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Susar</dc:creator>
  <cp:keywords/>
  <dc:description/>
  <cp:lastModifiedBy>Anjali Susar</cp:lastModifiedBy>
  <cp:revision>1</cp:revision>
  <dcterms:created xsi:type="dcterms:W3CDTF">2025-01-25T17:56:00Z</dcterms:created>
  <dcterms:modified xsi:type="dcterms:W3CDTF">2025-01-25T17:57:00Z</dcterms:modified>
</cp:coreProperties>
</file>