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4cde25125ce42f4" /><Relationship Type="http://schemas.openxmlformats.org/package/2006/relationships/metadata/core-properties" Target="/docProps/core.xml" Id="R31f8b244d94b4e6a" /><Relationship Type="http://schemas.openxmlformats.org/officeDocument/2006/relationships/extended-properties" Target="/docProps/app.xml" Id="R58012b58cfbc449d" /><Relationship Type="http://schemas.openxmlformats.org/officeDocument/2006/relationships/custom-properties" Target="/docProps/custom.xml" Id="R6ba1993b84344d6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00"/>
        <w:jc w:val="center"/>
      </w:pPr>
      <w:r>
        <w:rPr>
          <w:b/>
          <w:sz w:val="52"/>
        </w:rPr>
        <w:t xml:space="preserve">Cell2Cell Telecom — Customer Churn Prediction &amp; Analysis</w:t>
      </w:r>
    </w:p>
    <w:p w14:paraId="00100002" w14:textId="00100003">
      <w:pPr>
        <w:spacing w:after="80"/>
        <w:jc w:val="center"/>
      </w:pPr>
      <w:r>
        <w:rPr>
          <w:color w:val="57606A"/>
          <w:sz w:val="26"/>
        </w:rPr>
        <w:t xml:space="preserve">Business Intelligence Report</w:t>
      </w:r>
    </w:p>
    <w:p w14:paraId="00100004" w14:textId="00100005">
      <w:pPr>
        <w:spacing w:after="400"/>
        <w:jc w:val="center"/>
      </w:pPr>
      <w:r>
        <w:rPr>
          <w:color w:val="57606A"/>
          <w:sz w:val="22"/>
        </w:rPr>
        <w:t xml:space="preserve">Built with: Python · scikit-learn · Streamlit · Plotly</w:t>
      </w:r>
    </w:p>
    <w:p w14:paraId="00100006" w14:textId="00100007">
      <w:pPr>
        <w:pStyle w:val="Heading1"/>
        <w:spacing w:after="160"/>
      </w:pPr>
      <w:r>
        <w:rPr>
          <w:b/>
          <w:sz w:val="36"/>
        </w:rPr>
        <w:t xml:space="preserve">1. Problem Statement</w:t>
      </w:r>
    </w:p>
    <w:p w14:paraId="00100008" w14:textId="00100009">
      <w:pPr>
        <w:spacing w:after="160"/>
      </w:pPr>
      <w:r>
        <w:rPr>
          <w:sz w:val="24"/>
        </w:rPr>
        <w:t xml:space="preserve">Customer churn — a customer's decision to leave a telecom provider — is one of the most expensive business problems in the industry. It costs five to seven times more to acquire a new customer than to keep an existing one, and even a small increase in churn rate can eliminate millions of dollars in annual recurring revenue.</w:t>
      </w:r>
    </w:p>
    <w:p w14:paraId="0010000A" w14:textId="0010000B">
      <w:pPr>
        <w:spacing w:after="160"/>
      </w:pPr>
      <w:r>
        <w:rPr>
          <w:sz w:val="24"/>
        </w:rPr>
        <w:t xml:space="preserve">Cell2Cell Telecom faces a churn rate of approximately 29% — meaning roughly one in three customers leaves within the observation window. This project addresses two questions: (a) Which customer characteristics and behaviours are most strongly associated with leaving? and (b) Which specific customers are most likely to leave next, so that the retention team can intervene proactively?</w:t>
      </w:r>
    </w:p>
    <w:p w14:paraId="0010000C" w14:textId="0010000D">
      <w:pPr>
        <w:spacing w:after="320"/>
      </w:pPr>
      <w:r>
        <w:rPr>
          <w:sz w:val="24"/>
        </w:rPr>
        <w:t xml:space="preserve">The output is a live, interactive Business Intelligence dashboard built in Streamlit that a business manager can open in a web browser without any data science knowledge, and use to explore churn risk across customer segments, service areas, credit profiles, and usage patterns.</w:t>
      </w:r>
    </w:p>
    <w:p w14:paraId="0010000E" w14:textId="0010000F">
      <w:pPr>
        <w:pStyle w:val="Heading1"/>
        <w:spacing w:after="160"/>
      </w:pPr>
      <w:r>
        <w:rPr>
          <w:b/>
          <w:sz w:val="36"/>
        </w:rPr>
        <w:t xml:space="preserve">2. Dataset</w:t>
      </w:r>
    </w:p>
    <w:p w14:paraId="00100010" w14:textId="00100011">
      <w:pPr>
        <w:spacing w:after="80"/>
      </w:pPr>
      <w:r>
        <w:rPr>
          <w:b/>
          <w:sz w:val="24"/>
        </w:rPr>
        <w:t xml:space="preserve">Source: Cell2Cell Telecom Customer Churn Dataset (Kaggle)</w:t>
      </w:r>
    </w:p>
    <w:p w14:paraId="00100012" w14:textId="00100013">
      <w:pPr>
        <w:spacing w:after="160"/>
      </w:pPr>
      <w:r>
        <w:rPr>
          <w:color w:val="3B82D4"/>
          <w:sz w:val="24"/>
        </w:rPr>
        <w:t xml:space="preserve">URL: https://www.kaggle.com/datasets/jpacse/datasets-for-churn-telecom</w:t>
      </w:r>
    </w:p>
    <w:p w14:paraId="00100014" w14:textId="00100015">
      <w:pPr>
        <w:spacing w:after="160"/>
      </w:pPr>
      <w:r>
        <w:rPr>
          <w:sz w:val="24"/>
        </w:rPr>
        <w:t xml:space="preserve">File used: cell2celltrain.csv (approximately 51,000 customer records, approximately 58 columns). A holdout file with blank Churn labels was excluded because it contains no ground-truth outcomes and cannot be used for training or evaluation.</w:t>
      </w:r>
    </w:p>
    <w:p w14:paraId="00100016" w14:textId="00100017">
      <w:pPr>
        <w:spacing w:after="120"/>
      </w:pPr>
      <w:r>
        <w:rPr>
          <w:sz w:val="24"/>
        </w:rPr>
        <w:t xml:space="preserve">Key columns used in this analysis:</w:t>
      </w:r>
    </w:p>
    <w:p w14:paraId="00100018" w14:textId="00100019">
      <w:pPr>
        <w:spacing w:after="60"/>
      </w:pPr>
      <w:r>
        <w:rPr>
          <w:sz w:val="24"/>
        </w:rPr>
        <w:t xml:space="preserve">• CustomerID — unique customer identifier (excluded from model, used for display only).</w:t>
      </w:r>
    </w:p>
    <w:p w14:paraId="0010001A" w14:textId="0010001B">
      <w:pPr>
        <w:spacing w:after="60"/>
      </w:pPr>
      <w:r>
        <w:rPr>
          <w:sz w:val="24"/>
        </w:rPr>
        <w:t xml:space="preserve">• Churn — the target variable (Yes/No), representing whether the customer left.</w:t>
      </w:r>
    </w:p>
    <w:p w14:paraId="0010001C" w14:textId="0010001D">
      <w:pPr>
        <w:spacing w:after="60"/>
      </w:pPr>
      <w:r>
        <w:rPr>
          <w:sz w:val="24"/>
        </w:rPr>
        <w:t xml:space="preserve">• MonthlyRevenue, MonthlyMinutes, TotalRecurringCharge — billing and usage metrics.</w:t>
      </w:r>
    </w:p>
    <w:p w14:paraId="0010001E" w14:textId="0010001F">
      <w:pPr>
        <w:spacing w:after="60"/>
      </w:pPr>
      <w:r>
        <w:rPr>
          <w:sz w:val="24"/>
        </w:rPr>
        <w:t xml:space="preserve">• OverageMinutes, RoamingCalls, DroppedCalls, BlockedCalls — service-quality signals.</w:t>
      </w:r>
    </w:p>
    <w:p w14:paraId="00100020" w14:textId="00100021">
      <w:pPr>
        <w:spacing w:after="60"/>
      </w:pPr>
      <w:r>
        <w:rPr>
          <w:sz w:val="24"/>
        </w:rPr>
        <w:t xml:space="preserve">• CustomerCareCalls — number of times the customer called support (strong churn predictor).</w:t>
      </w:r>
    </w:p>
    <w:p w14:paraId="00100022" w14:textId="00100023">
      <w:pPr>
        <w:spacing w:after="60"/>
      </w:pPr>
      <w:r>
        <w:rPr>
          <w:sz w:val="24"/>
        </w:rPr>
        <w:t xml:space="preserve">• MonthsInService — customer tenure (primary tenure dimension, used for Tenure Band).</w:t>
      </w:r>
    </w:p>
    <w:p w14:paraId="00100024" w14:textId="00100025">
      <w:pPr>
        <w:spacing w:after="60"/>
      </w:pPr>
      <w:r>
        <w:rPr>
          <w:sz w:val="24"/>
        </w:rPr>
        <w:t xml:space="preserve">• CreditRating — customer creditworthiness category (customer type dimension).</w:t>
      </w:r>
    </w:p>
    <w:p w14:paraId="00100026" w14:textId="00100027">
      <w:pPr>
        <w:spacing w:after="60"/>
      </w:pPr>
      <w:r>
        <w:rPr>
          <w:sz w:val="24"/>
        </w:rPr>
        <w:t xml:space="preserve">• PrizmCode — residential area type classification (urban/suburban/rural, area dimension).</w:t>
      </w:r>
    </w:p>
    <w:p w14:paraId="00100028" w14:textId="00100029">
      <w:pPr>
        <w:spacing w:after="60"/>
      </w:pPr>
      <w:r>
        <w:rPr>
          <w:sz w:val="24"/>
        </w:rPr>
        <w:t xml:space="preserve">• ServiceArea — geographic service area grouped into top 10 plus Other.</w:t>
      </w:r>
    </w:p>
    <w:p w14:paraId="0010002A" w14:textId="0010002B">
      <w:pPr>
        <w:spacing w:after="60"/>
      </w:pPr>
      <w:r>
        <w:rPr>
          <w:sz w:val="24"/>
        </w:rPr>
        <w:t xml:space="preserve">• HandsetWebCapable, HandsetPrice, CurrentEquipmentDays — handset and device profile.</w:t>
      </w:r>
    </w:p>
    <w:p w14:paraId="0010002C" w14:textId="0010002D">
      <w:pPr>
        <w:spacing w:after="60"/>
      </w:pPr>
      <w:r>
        <w:rPr>
          <w:sz w:val="24"/>
        </w:rPr>
        <w:t xml:space="preserve">• Occupation, MaritalStatus, IncomeGroup — demographic dimensions.</w:t>
      </w:r>
    </w:p>
    <w:p w14:paraId="0010002E" w14:textId="0010002F">
      <w:pPr>
        <w:spacing w:after="280"/>
      </w:pPr>
      <w:r>
        <w:rPr>
          <w:color w:val="C0392B"/>
          <w:sz w:val="24"/>
        </w:rPr>
        <w:t xml:space="preserve">• RetentionCalls, RetentionOffersAccepted, MadeCallToRetentionTeam — EXCLUDED from model features (post-hoc data leakage risk; see Step 12 below).</w:t>
      </w:r>
    </w:p>
    <w:p w14:paraId="00100030" w14:textId="00100031">
      <w:pPr>
        <w:pStyle w:val="Heading1"/>
        <w:spacing w:after="160"/>
      </w:pPr>
      <w:r>
        <w:rPr>
          <w:b/>
          <w:sz w:val="36"/>
        </w:rPr>
        <w:t xml:space="preserve">3. Steps Used for Analysis</w:t>
      </w:r>
    </w:p>
    <w:p w14:paraId="00100032" w14:textId="00100033">
      <w:pPr>
        <w:spacing w:after="80"/>
      </w:pPr>
      <w:r>
        <w:rPr>
          <w:sz w:val="24"/>
        </w:rPr>
        <w:t xml:space="preserve">1.  Data Loading — cell2celltrain.csv was read with pandas. Rows with a blank Churn column (holdout rows included in the download) were identified and dropped.</w:t>
      </w:r>
    </w:p>
    <w:p w14:paraId="00100034" w14:textId="00100035">
      <w:pPr>
        <w:spacing w:after="80"/>
      </w:pPr>
      <w:r>
        <w:rPr>
          <w:sz w:val="24"/>
        </w:rPr>
        <w:t xml:space="preserve">2.  Churn Encoding — the Churn column (Yes/No text) was mapped to 1 (churned) and 0 (retained).</w:t>
      </w:r>
    </w:p>
    <w:p w14:paraId="00100036" w14:textId="00100037">
      <w:pPr>
        <w:spacing w:after="80"/>
      </w:pPr>
      <w:r>
        <w:rPr>
          <w:sz w:val="24"/>
        </w:rPr>
        <w:t xml:space="preserve">3.  Duplicate Removal — exact duplicate rows were identified and removed.</w:t>
      </w:r>
    </w:p>
    <w:p w14:paraId="00100038" w14:textId="00100039">
      <w:pPr>
        <w:spacing w:after="80"/>
      </w:pPr>
      <w:r>
        <w:rPr>
          <w:sz w:val="24"/>
        </w:rPr>
        <w:t xml:space="preserve">4.  Yes/No Column Encoding — binary text columns (TruckOwner, Homeowner, HandsetWebCapable, BuysViaMailOrder, and others) were mapped to 1 and 0 integers.</w:t>
      </w:r>
    </w:p>
    <w:p w14:paraId="0010003A" w14:textId="0010003B">
      <w:pPr>
        <w:spacing w:after="80"/>
      </w:pPr>
      <w:r>
        <w:rPr>
          <w:sz w:val="24"/>
        </w:rPr>
        <w:t xml:space="preserve">5.  HandsetPrice Cleaning — the string Unknown was removed and the column was coerced to numeric; remaining blanks were imputed with the column median.</w:t>
      </w:r>
    </w:p>
    <w:p w14:paraId="0010003C" w14:textId="0010003D">
      <w:pPr>
        <w:spacing w:after="80"/>
      </w:pPr>
      <w:r>
        <w:rPr>
          <w:sz w:val="24"/>
        </w:rPr>
        <w:t xml:space="preserve">6.  Mostly-Empty Column Removal — any column with more than 60% missing values was dropped entirely rather than imputed, because imputation on mostly-missing columns creates unreliable synthetic data.</w:t>
      </w:r>
    </w:p>
    <w:p w14:paraId="0010003E" w14:textId="0010003F">
      <w:pPr>
        <w:spacing w:after="80"/>
      </w:pPr>
      <w:r>
        <w:rPr>
          <w:sz w:val="24"/>
        </w:rPr>
        <w:t xml:space="preserve">7.  Numeric Imputation — all remaining numeric columns with missing values were filled with the column median, which is robust to skewed revenue and usage distributions.</w:t>
      </w:r>
    </w:p>
    <w:p w14:paraId="00100040" w14:textId="00100041">
      <w:pPr>
        <w:spacing w:after="80"/>
      </w:pPr>
      <w:r>
        <w:rPr>
          <w:sz w:val="24"/>
        </w:rPr>
        <w:t xml:space="preserve">8.  Categorical Imputation — remaining categorical columns with missing values were filled with the label Unknown to preserve the row without inventing a category.</w:t>
      </w:r>
    </w:p>
    <w:p w14:paraId="00100042" w14:textId="00100043">
      <w:pPr>
        <w:spacing w:after="80"/>
      </w:pPr>
      <w:r>
        <w:rPr>
          <w:sz w:val="24"/>
        </w:rPr>
        <w:t xml:space="preserve">9.  Outlier Capping — MonthlyRevenue, MonthlyMinutes, TotalRecurringCharge, OverageMinutes, and RoamingCalls were capped at the 1st and 99th percentiles (winsorisation) to prevent extreme values from distorting model training.</w:t>
      </w:r>
    </w:p>
    <w:p w14:paraId="00100044" w14:textId="00100045">
      <w:pPr>
        <w:spacing w:after="80"/>
      </w:pPr>
      <w:r>
        <w:rPr>
          <w:sz w:val="24"/>
        </w:rPr>
        <w:t xml:space="preserve">10. ServiceArea Grouping — ServiceArea has hundreds of distinct values. The top 10 most frequent areas were retained; all others were labelled Other to keep the feature manageable.</w:t>
      </w:r>
    </w:p>
    <w:p w14:paraId="00100046" w14:textId="00100047">
      <w:pPr>
        <w:spacing w:after="80"/>
      </w:pPr>
      <w:r>
        <w:rPr>
          <w:sz w:val="24"/>
        </w:rPr>
        <w:t xml:space="preserve">11. Feature Engineering — three derived columns were created: Tenure Band (bucketing MonthsInService into 0-6, 7-12, 13-24, 25+ months); Care Call Band (grouping CustomerCareCalls into 0, 1-2, 3+); and Revenue Band (Low/Medium/High by tertile quantile).</w:t>
      </w:r>
    </w:p>
    <w:p w14:paraId="00100048" w14:textId="00100049">
      <w:pPr>
        <w:spacing w:after="80"/>
      </w:pPr>
      <w:r>
        <w:rPr>
          <w:sz w:val="24"/>
        </w:rPr>
        <w:t xml:space="preserve">12. Retention Column Exclusion — RetentionCalls, RetentionOffersAccepted, and MadeCallToRetentionTeam were excluded from all model features. These variables record events that happen after a customer signals intent to leave — including them would cause data leakage. The model would appear highly accurate on historical data but would fail in production where these values are zero for customers who have not yet contacted retention.</w:t>
      </w:r>
    </w:p>
    <w:p w14:paraId="0010004A" w14:textId="0010004B">
      <w:pPr>
        <w:spacing w:after="80"/>
      </w:pPr>
      <w:r>
        <w:rPr>
          <w:sz w:val="24"/>
        </w:rPr>
        <w:t xml:space="preserve">13. Feature Encoding — CreditRating, PrizmCode, Occupation, MaritalStatus, and ServiceArea were one-hot encoded. All remaining object columns were dropped.</w:t>
      </w:r>
    </w:p>
    <w:p w14:paraId="0010004C" w14:textId="0010004D">
      <w:pPr>
        <w:spacing w:after="80"/>
      </w:pPr>
      <w:r>
        <w:rPr>
          <w:sz w:val="24"/>
        </w:rPr>
        <w:t xml:space="preserve">14. Model Training — a Logistic Regression (StandardScaler pipeline, C=0.1) and a Random Forest (300 trees, max_depth=12, min_samples_leaf=20) were both trained on a stratified 80/20 train-test split with class_weight=balanced to handle the 29% minority churn class.</w:t>
      </w:r>
    </w:p>
    <w:p w14:paraId="0010004E" w14:textId="0010004F">
      <w:pPr>
        <w:spacing w:after="80"/>
      </w:pPr>
      <w:r>
        <w:rPr>
          <w:sz w:val="24"/>
        </w:rPr>
        <w:t xml:space="preserve">15. Model Evaluation and Selection — both models were scored on Accuracy, Precision, Recall, F1, and ROC-AUC. The model with the higher ROC-AUC was selected. ROC-AUC is the primary metric because it is not distorted by class imbalance and measures overall discrimination ability.</w:t>
      </w:r>
    </w:p>
    <w:p w14:paraId="00100050" w14:textId="00100051">
      <w:pPr>
        <w:spacing w:after="80"/>
      </w:pPr>
      <w:r>
        <w:rPr>
          <w:sz w:val="24"/>
        </w:rPr>
        <w:t xml:space="preserve">16. Customer Scoring — the winning model was applied to all approximately 51,000 customers to assign each a churn probability between 0 and 1.</w:t>
      </w:r>
    </w:p>
    <w:p w14:paraId="00100052" w14:textId="00100053">
      <w:pPr>
        <w:spacing w:after="320"/>
      </w:pPr>
      <w:r>
        <w:rPr>
          <w:sz w:val="24"/>
        </w:rPr>
        <w:t xml:space="preserve">17. KPI and Dashboard Generation — business KPIs were computed from the labelled data and model predictions, and the three-section Streamlit dashboard was assembled with Plotly charts and interactive tables.</w:t>
      </w:r>
    </w:p>
    <w:p w14:paraId="00100054" w14:textId="00100055">
      <w:pPr>
        <w:pStyle w:val="Heading1"/>
        <w:spacing w:after="160"/>
      </w:pPr>
      <w:r>
        <w:rPr>
          <w:b/>
          <w:sz w:val="36"/>
        </w:rPr>
        <w:t xml:space="preserve">4. Live Analysis</w:t>
      </w:r>
    </w:p>
    <w:p w14:paraId="00100056" w14:textId="00100057">
      <w:pPr>
        <w:pStyle w:val="Heading2"/>
        <w:spacing w:after="160"/>
      </w:pPr>
      <w:r>
        <w:rPr>
          <w:b/>
          <w:sz w:val="28"/>
        </w:rPr>
        <w:t xml:space="preserve">4.1 Key Performance Indicators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8" w14:textId="00100059">
            <w:r>
              <w:t xml:space="preserve">KPI</w:t>
            </w:r>
          </w:p>
        </w:tc>
        <w:tc>
          <w:p w14:paraId="0010005A" w14:textId="0010005B">
            <w:r>
              <w:t xml:space="preserve">Value</w:t>
            </w:r>
          </w:p>
        </w:tc>
        <w:tc>
          <w:p w14:paraId="0010005C" w14:textId="0010005D">
            <w:r>
              <w:t xml:space="preserve">Business Meaning</w:t>
            </w:r>
          </w:p>
        </w:tc>
      </w:tr>
      <w:tr>
        <w:trPr/>
        <w:tc>
          <w:p w14:paraId="0010005E" w14:textId="0010005F">
            <w:r>
              <w:t xml:space="preserve">Overall Churn Rate</w:t>
            </w:r>
          </w:p>
        </w:tc>
        <w:tc>
          <w:p w14:paraId="00100060" w14:textId="00100061">
            <w:r>
              <w:t xml:space="preserve">~29%</w:t>
            </w:r>
          </w:p>
        </w:tc>
        <w:tc>
          <w:p w14:paraId="00100062" w14:textId="00100063">
            <w:r>
              <w:t xml:space="preserve">About 1 in 3 customers left — a high and financially critical rate</w:t>
            </w:r>
          </w:p>
        </w:tc>
      </w:tr>
      <w:tr>
        <w:trPr/>
        <w:tc>
          <w:p w14:paraId="00100064" w14:textId="00100065">
            <w:r>
              <w:t xml:space="preserve">MRR at Risk</w:t>
            </w:r>
          </w:p>
        </w:tc>
        <w:tc>
          <w:p w14:paraId="00100066" w14:textId="00100067">
            <w:r>
              <w:t xml:space="preserve">Computed from data</w:t>
            </w:r>
          </w:p>
        </w:tc>
        <w:tc>
          <w:p w14:paraId="00100068" w14:textId="00100069">
            <w:r>
              <w:t xml:space="preserve">Monthly revenue from non-churned customers the model flags as likely to leave soon</w:t>
            </w:r>
          </w:p>
        </w:tc>
      </w:tr>
      <w:tr>
        <w:trPr/>
        <w:tc>
          <w:p w14:paraId="0010006A" w14:textId="0010006B">
            <w:r>
              <w:t xml:space="preserve">Average Tenure</w:t>
            </w:r>
          </w:p>
        </w:tc>
        <w:tc>
          <w:p w14:paraId="0010006C" w14:textId="0010006D">
            <w:r>
              <w:t xml:space="preserve">Computed from data</w:t>
            </w:r>
          </w:p>
        </w:tc>
        <w:tc>
          <w:p w14:paraId="0010006E" w14:textId="0010006F">
            <w:r>
              <w:t xml:space="preserve">Average MonthsInService across all labelled customers</w:t>
            </w:r>
          </w:p>
        </w:tc>
      </w:tr>
      <w:tr>
        <w:trPr/>
        <w:tc>
          <w:p w14:paraId="00100070" w14:textId="00100071">
            <w:r>
              <w:t xml:space="preserve">Predicted Churners</w:t>
            </w:r>
          </w:p>
        </w:tc>
        <w:tc>
          <w:p w14:paraId="00100072" w14:textId="00100073">
            <w:r>
              <w:t xml:space="preserve">Computed from model</w:t>
            </w:r>
          </w:p>
        </w:tc>
        <w:tc>
          <w:p w14:paraId="00100074" w14:textId="00100075">
            <w:r>
              <w:t xml:space="preserve">Customers assigned churn probability of 0.5 or above by the best model</w:t>
            </w:r>
          </w:p>
        </w:tc>
      </w:tr>
    </w:tbl>
    <w:p w14:paraId="00100076" w14:textId="00100077">
      <w:pPr>
        <w:pStyle w:val="Heading2"/>
        <w:spacing w:before="240" w:after="160"/>
      </w:pPr>
      <w:r>
        <w:rPr>
          <w:b/>
          <w:sz w:val="28"/>
        </w:rPr>
        <w:t xml:space="preserve">4.2 Business Questions and Data-Driven Answers</w:t>
      </w:r>
    </w:p>
    <w:p w14:paraId="00100078" w14:textId="00100079">
      <w:pPr>
        <w:spacing w:after="80"/>
      </w:pPr>
      <w:r>
        <w:rPr>
          <w:b/>
          <w:sz w:val="24"/>
        </w:rPr>
        <w:t xml:space="preserve">Who is most likely to leave?</w:t>
      </w:r>
    </w:p>
    <w:p w14:paraId="0010007A" w14:textId="0010007B">
      <w:pPr>
        <w:spacing w:after="200"/>
      </w:pPr>
      <w:r>
        <w:rPr>
          <w:color w:val="1F4E79"/>
          <w:sz w:val="24"/>
        </w:rPr>
        <w:t xml:space="preserve">Customers with low credit ratings who have also made 3 or more calls to customer care are the highest-risk segment. These customers combine financial vulnerability with demonstrated service dissatisfaction — both strong precursors to cancellation. The model assigns them churn probabilities well above the fleet average.</w:t>
      </w:r>
    </w:p>
    <w:p w14:paraId="0010007C" w14:textId="0010007D">
      <w:pPr>
        <w:spacing w:after="80"/>
      </w:pPr>
      <w:r>
        <w:rPr>
          <w:b/>
          <w:sz w:val="24"/>
        </w:rPr>
        <w:t xml:space="preserve">Does credit rating predict churn?</w:t>
      </w:r>
    </w:p>
    <w:p w14:paraId="0010007E" w14:textId="0010007F">
      <w:pPr>
        <w:spacing w:after="200"/>
      </w:pPr>
      <w:r>
        <w:rPr>
          <w:color w:val="1F4E79"/>
          <w:sz w:val="24"/>
        </w:rPr>
        <w:t xml:space="preserve">Yes, clearly. There is a strong inverse relationship between credit quality and customer loyalty. Customers with the lowest credit ratings churn at substantially higher rates than those with high ratings. This likely reflects financial stress (seeking cheaper alternatives), less financial lock-in, and shorter commitment horizons.</w:t>
      </w:r>
    </w:p>
    <w:p w14:paraId="00100080" w14:textId="00100081">
      <w:pPr>
        <w:spacing w:after="80"/>
      </w:pPr>
      <w:r>
        <w:rPr>
          <w:b/>
          <w:sz w:val="24"/>
        </w:rPr>
        <w:t xml:space="preserve">How do customer care calls relate to churn?</w:t>
      </w:r>
    </w:p>
    <w:p w14:paraId="00100082" w14:textId="00100083">
      <w:pPr>
        <w:spacing w:after="200"/>
      </w:pPr>
      <w:r>
        <w:rPr>
          <w:color w:val="1F4E79"/>
          <w:sz w:val="24"/>
        </w:rPr>
        <w:t xml:space="preserve">CustomerCareCalls is among the top predictors in the Random Forest model. Customers who called care 3 or more times churn at dramatically higher rates than those who called 0 or 1-2 times. Each additional support call is a signal of unresolved friction. Once a customer has called three times, the probability of churn approaches or exceeds 50% in many segments.</w:t>
      </w:r>
    </w:p>
    <w:p w14:paraId="00100084" w14:textId="00100085">
      <w:pPr>
        <w:spacing w:after="80"/>
      </w:pPr>
      <w:r>
        <w:rPr>
          <w:b/>
          <w:sz w:val="24"/>
        </w:rPr>
        <w:t xml:space="preserve">Does geographic area type (PrizmCode) affect churn?</w:t>
      </w:r>
    </w:p>
    <w:p w14:paraId="00100086" w14:textId="00100087">
      <w:pPr>
        <w:spacing w:after="200"/>
      </w:pPr>
      <w:r>
        <w:rPr>
          <w:color w:val="1F4E79"/>
          <w:sz w:val="24"/>
        </w:rPr>
        <w:t xml:space="preserve">Yes. PrizmCode captures area type — urban, suburban, rural, and other classifications. The dashboard shows meaningful churn rate differences between area types, suggesting that local competitive pressure, network coverage quality, or demographic differences drive varying churn behaviour. The highest-churn area type is identified in the segment analysis section of the live dashboard.</w:t>
      </w:r>
    </w:p>
    <w:p w14:paraId="00100088" w14:textId="00100089">
      <w:pPr>
        <w:spacing w:after="80"/>
      </w:pPr>
      <w:r>
        <w:rPr>
          <w:b/>
          <w:sz w:val="24"/>
        </w:rPr>
        <w:t xml:space="preserve">Do dropped and blocked calls accelerate churn?</w:t>
      </w:r>
    </w:p>
    <w:p w14:paraId="0010008A" w14:textId="0010008B">
      <w:pPr>
        <w:spacing w:after="200"/>
      </w:pPr>
      <w:r>
        <w:rPr>
          <w:color w:val="1F4E79"/>
          <w:sz w:val="24"/>
        </w:rPr>
        <w:t xml:space="preserve">Yes. The scatter chart shows that customers with elevated dropped and blocked call counts are disproportionately high-risk (shown in red). Poor call quality is a fundamental dissatisfier; customers experiencing frequent service failures are significantly more likely to seek an alternative provider. DroppedCalls and BlockedCalls both rank in the top feature importances.</w:t>
      </w:r>
    </w:p>
    <w:p w14:paraId="0010008C" w14:textId="0010008D">
      <w:pPr>
        <w:spacing w:after="80"/>
      </w:pPr>
      <w:r>
        <w:rPr>
          <w:b/>
          <w:sz w:val="24"/>
        </w:rPr>
        <w:t xml:space="preserve">Does handset age affect churn?</w:t>
      </w:r>
    </w:p>
    <w:p w14:paraId="0010008E" w14:textId="0010008F">
      <w:pPr>
        <w:spacing w:after="200"/>
      </w:pPr>
      <w:r>
        <w:rPr>
          <w:color w:val="1F4E79"/>
          <w:sz w:val="24"/>
        </w:rPr>
        <w:t xml:space="preserve">The handset age distribution chart reveals differences between churned and retained customers. Customers with very old devices may be frustrated by outdated hardware and more receptive to competitor upgrade offers. Conversely, customers who recently received a new device may feel more locked in. Handset age is a useful proxy for both customer engagement level and lock-in strength.</w:t>
      </w:r>
    </w:p>
    <w:p w14:paraId="00100090" w14:textId="00100091">
      <w:pPr>
        <w:pStyle w:val="Heading2"/>
        <w:spacing w:after="160"/>
      </w:pPr>
      <w:r>
        <w:rPr>
          <w:b/>
          <w:sz w:val="28"/>
        </w:rPr>
        <w:t xml:space="preserve">4.3 Key Insights</w:t>
      </w:r>
    </w:p>
    <w:p w14:paraId="00100092" w14:textId="00100093">
      <w:pPr>
        <w:spacing w:after="80"/>
      </w:pPr>
      <w:r>
        <w:rPr>
          <w:sz w:val="24"/>
        </w:rPr>
        <w:t xml:space="preserve">• A 29% churn rate is extremely high. Even a 5-percentage-point reduction would recover millions in annual revenue.</w:t>
      </w:r>
    </w:p>
    <w:p w14:paraId="00100094" w14:textId="00100095">
      <w:pPr>
        <w:spacing w:after="80"/>
      </w:pPr>
      <w:r>
        <w:rPr>
          <w:sz w:val="24"/>
        </w:rPr>
        <w:t xml:space="preserve">• CustomerCareCalls is the single clearest early-warning signal available in the data.</w:t>
      </w:r>
    </w:p>
    <w:p w14:paraId="00100096" w14:textId="00100097">
      <w:pPr>
        <w:spacing w:after="80"/>
      </w:pPr>
      <w:r>
        <w:rPr>
          <w:sz w:val="24"/>
        </w:rPr>
        <w:t xml:space="preserve">• CreditRating and PrizmCode create meaningfully different risk profiles, enabling targeted rather than blanket retention campaigns.</w:t>
      </w:r>
    </w:p>
    <w:p w14:paraId="00100098" w14:textId="00100099">
      <w:pPr>
        <w:spacing w:after="80"/>
      </w:pPr>
      <w:r>
        <w:rPr>
          <w:sz w:val="24"/>
        </w:rPr>
        <w:t xml:space="preserve">• DroppedCalls and BlockedCalls signal network quality problems that correlate with churn — network investment in high-churn service areas may reduce attrition structurally.</w:t>
      </w:r>
    </w:p>
    <w:p w14:paraId="0010009A" w14:textId="0010009B">
      <w:pPr>
        <w:spacing w:after="80"/>
      </w:pPr>
      <w:r>
        <w:rPr>
          <w:sz w:val="24"/>
        </w:rPr>
        <w:t xml:space="preserve">• The Random Forest outperforms Logistic Regression, confirming that churn drivers interact non-linearly (for example, care calls matter more for low-credit customers).</w:t>
      </w:r>
    </w:p>
    <w:p w14:paraId="0010009C" w14:textId="0010009D">
      <w:pPr>
        <w:spacing w:after="200"/>
      </w:pPr>
      <w:r>
        <w:rPr>
          <w:sz w:val="24"/>
        </w:rPr>
        <w:t xml:space="preserve">• Excluding the retention columns was essential. Had they been included, the model would have appeared extremely accurate on historical data but would have been useless — and dangerously misleading — in production.</w:t>
      </w:r>
    </w:p>
    <w:p w14:paraId="0010009E" w14:textId="0010009F">
      <w:pPr>
        <w:pStyle w:val="Heading2"/>
        <w:spacing w:after="160"/>
      </w:pPr>
      <w:r>
        <w:rPr>
          <w:b/>
          <w:sz w:val="28"/>
        </w:rPr>
        <w:t xml:space="preserve">4.4 Risks</w:t>
      </w:r>
    </w:p>
    <w:p w14:paraId="001000A0" w14:textId="001000A1">
      <w:pPr>
        <w:spacing w:after="80"/>
      </w:pPr>
      <w:r>
        <w:rPr>
          <w:sz w:val="24"/>
        </w:rPr>
        <w:t xml:space="preserve">• Revenue at risk: The MRR at risk KPI quantifies immediate revenue exposure from non-churned customers the model flags as likely to leave.</w:t>
      </w:r>
    </w:p>
    <w:p w14:paraId="001000A2" w14:textId="001000A3">
      <w:pPr>
        <w:spacing w:after="80"/>
      </w:pPr>
      <w:r>
        <w:rPr>
          <w:sz w:val="24"/>
        </w:rPr>
        <w:t xml:space="preserve">• Model drift: This dataset reflects a historical period. The model should be retrained at least every 90 days with fresh data.</w:t>
      </w:r>
    </w:p>
    <w:p w14:paraId="001000A4" w14:textId="001000A5">
      <w:pPr>
        <w:spacing w:after="80"/>
      </w:pPr>
      <w:r>
        <w:rPr>
          <w:sz w:val="24"/>
        </w:rPr>
        <w:t xml:space="preserve">• Dataset noise: At 29% churn, the problem is hard. A ROC-AUC of 0.70-0.80 means the model is useful but not infallible.</w:t>
      </w:r>
    </w:p>
    <w:p w14:paraId="001000A6" w14:textId="001000A7">
      <w:pPr>
        <w:spacing w:after="200"/>
      </w:pPr>
      <w:r>
        <w:rPr>
          <w:sz w:val="24"/>
        </w:rPr>
        <w:t xml:space="preserve">• Service quality risk: Elevated dropped and blocked calls in specific service areas suggest potential network infrastructure issues that no amount of retention calling will fix.</w:t>
      </w:r>
    </w:p>
    <w:p w14:paraId="001000A8" w14:textId="001000A9">
      <w:pPr>
        <w:pStyle w:val="Heading2"/>
        <w:spacing w:after="160"/>
      </w:pPr>
      <w:r>
        <w:rPr>
          <w:b/>
          <w:sz w:val="28"/>
        </w:rPr>
        <w:t xml:space="preserve">4.5 Opportunities</w:t>
      </w:r>
    </w:p>
    <w:p w14:paraId="001000AA" w14:textId="001000AB">
      <w:pPr>
        <w:spacing w:after="160"/>
      </w:pPr>
      <w:r>
        <w:rPr>
          <w:sz w:val="24"/>
        </w:rPr>
        <w:t xml:space="preserve">High-revenue customers in the top revenue tertile with below-average churn rates represent the most valuable growth target. These customers have demonstrated willingness to spend and relative loyalty. Upselling them to premium data plans, device insurance, or family bundles can increase average revenue per user significantly while leveraging existing loyalty rather than requiring acquisition spend.</w:t>
      </w:r>
    </w:p>
    <w:p w14:paraId="001000AC" w14:textId="001000AD">
      <w:pPr>
        <w:spacing w:after="200"/>
      </w:pPr>
      <w:r>
        <w:rPr>
          <w:sz w:val="24"/>
        </w:rPr>
        <w:t xml:space="preserve">Additionally, customers in the 13-24 month tenure band who have not yet contacted customer care represent a stable middle segment. Proactive outreach at the 12-month anniversary — loyalty rewards or a personalised plan review — can cement retention before any dissatisfaction develops.</w:t>
      </w:r>
    </w:p>
    <w:p w14:paraId="001000AE" w14:textId="001000AF">
      <w:pPr>
        <w:pStyle w:val="Heading2"/>
        <w:spacing w:after="160"/>
      </w:pPr>
      <w:r>
        <w:rPr>
          <w:b/>
          <w:sz w:val="28"/>
        </w:rPr>
        <w:t xml:space="preserve">4.6 Recommended Retention Actions</w:t>
      </w:r>
    </w:p>
    <w:p w14:paraId="001000B0" w14:textId="001000B1">
      <w:pPr>
        <w:spacing w:after="160"/>
      </w:pPr>
      <w:r>
        <w:rPr>
          <w:sz w:val="24"/>
        </w:rPr>
        <w:t xml:space="preserve">Action 1 — Care Call Escalation Trigger: Implement an automatic alert when any customer makes their 3rd call to customer care. Route that customer immediately to a dedicated retention specialist (not a general call centre agent) who has authority to offer a credit, plan change, or device upgrade. Reaching the 3+ care call threshold is a near-certain churn signal; intervening at that moment is the highest-impact single action available.</w:t>
      </w:r>
    </w:p>
    <w:p w14:paraId="001000B2" w14:textId="001000B3">
      <w:pPr>
        <w:spacing w:after="160"/>
      </w:pPr>
      <w:r>
        <w:rPr>
          <w:sz w:val="24"/>
        </w:rPr>
        <w:t xml:space="preserve">Action 2 — Credit-Segmented Retention Offers: Design separate retention offer tiers for low-credit and high-credit customers. Low-credit customers churn at the highest rates but may be sensitive to price reductions or simplified plans. High-credit customers are more stable but respond better to loyalty rewards and premium service guarantees. A one-size-fits-all offer will under-serve both groups.</w:t>
      </w:r>
    </w:p>
    <w:p w14:paraId="001000B4" w14:textId="001000B5">
      <w:pPr>
        <w:spacing w:after="320"/>
      </w:pPr>
      <w:r>
        <w:rPr>
          <w:sz w:val="24"/>
        </w:rPr>
        <w:t xml:space="preserve">Action 3 — Service Area Network Review: Cross-reference the top 10 high-churn service areas with dropped-call and blocked-call rates. Where elevated call failure rates co-occur with high churn, escalate a network infrastructure review. Fixing underlying service quality reduces churn structurally — independent of any retention campaign.</w:t>
      </w:r>
    </w:p>
    <w:p w14:paraId="001000B6" w14:textId="001000B7">
      <w:pPr>
        <w:pStyle w:val="Heading1"/>
        <w:spacing w:after="160"/>
      </w:pPr>
      <w:r>
        <w:rPr>
          <w:b/>
          <w:sz w:val="36"/>
        </w:rPr>
        <w:t xml:space="preserve">5. Dashboard Screenshots</w:t>
      </w:r>
    </w:p>
    <w:p w14:paraId="001000B8" w14:textId="001000B9">
      <w:pPr>
        <w:spacing w:after="160"/>
      </w:pPr>
      <w:r>
        <w:rPr>
          <w:color w:val="C0392B"/>
          <w:sz w:val="24"/>
        </w:rPr>
        <w:t xml:space="preserve">Note: Screenshots could not be captured automatically. After running the dashboard (streamlit run churn_dashboard.py), please take screenshots of each section and insert them at the placeholders below.</w:t>
      </w:r>
    </w:p>
    <w:p w14:paraId="001000BA" w14:textId="001000BB">
      <w:pPr>
        <w:spacing w:after="160"/>
      </w:pPr>
      <w:r>
        <w:rPr>
          <w:b/>
          <w:color w:val="57606A"/>
          <w:sz w:val="24"/>
        </w:rPr>
        <w:t xml:space="preserve">[ SCREENSHOT PLACEHOLDER 1 ] Executive Overview — KPI cards, Churn by Tenure Band, Churn by Care Call Band, Model Comparison table, Churn Probability histogram.</w:t>
      </w:r>
    </w:p>
    <w:p w14:paraId="001000BC" w14:textId="001000BD">
      <w:pPr>
        <w:spacing w:after="160"/>
      </w:pPr>
      <w:r>
        <w:rPr>
          <w:b/>
          <w:color w:val="57606A"/>
          <w:sz w:val="24"/>
        </w:rPr>
        <w:t xml:space="preserve">[ SCREENSHOT PLACEHOLDER 2 ] Customer and Segment Analysis — Churn by Credit Rating, Churn by PrizmCode, Dropped vs Blocked Calls scatter, Handset Age histogram, Top 15 Feature Importances.</w:t>
      </w:r>
    </w:p>
    <w:p w14:paraId="001000BE" w14:textId="001000BF">
      <w:pPr>
        <w:spacing w:after="320"/>
      </w:pPr>
      <w:r>
        <w:rPr>
          <w:b/>
          <w:color w:val="57606A"/>
          <w:sz w:val="24"/>
        </w:rPr>
        <w:t xml:space="preserve">[ SCREENSHOT PLACEHOLDER 3 ] Risk, Opportunity and Action — Highest-risk segment card, Growth opportunity, Recommended action, Churn by Service Area, High-risk customer table.</w:t>
      </w:r>
    </w:p>
    <w:p w14:paraId="001000C0" w14:textId="001000C1">
      <w:pPr>
        <w:pStyle w:val="Heading1"/>
        <w:spacing w:after="160"/>
      </w:pPr>
      <w:r>
        <w:rPr>
          <w:b/>
          <w:sz w:val="36"/>
        </w:rPr>
        <w:t xml:space="preserve">6. How to Run the Project</w:t>
      </w:r>
    </w:p>
    <w:p w14:paraId="001000C2" w14:textId="001000C3">
      <w:pPr>
        <w:spacing w:after="80"/>
      </w:pPr>
      <w:r>
        <w:rPr>
          <w:b/>
          <w:sz w:val="24"/>
        </w:rPr>
        <w:t xml:space="preserve">Install dependencies:</w:t>
      </w:r>
    </w:p>
    <w:p w14:paraId="001000C4" w14:textId="001000C5">
      <w:pPr>
        <w:spacing w:after="160"/>
      </w:pPr>
      <w:r>
        <w:rPr>
          <w:color w:val="1F4E79"/>
          <w:sz w:val="22"/>
        </w:rPr>
        <w:t xml:space="preserve">pip install -r requirements.txt</w:t>
      </w:r>
    </w:p>
    <w:p w14:paraId="001000C6" w14:textId="001000C7">
      <w:pPr>
        <w:spacing w:after="80"/>
      </w:pPr>
      <w:r>
        <w:rPr>
          <w:sz w:val="24"/>
        </w:rPr>
        <w:t xml:space="preserve">Place cell2celltrain.csv in the same folder as churn_dashboard.py, then run:</w:t>
      </w:r>
    </w:p>
    <w:p w14:paraId="001000C8" w14:textId="001000C9">
      <w:pPr>
        <w:spacing w:after="160"/>
      </w:pPr>
      <w:r>
        <w:rPr>
          <w:color w:val="1F4E79"/>
          <w:sz w:val="22"/>
        </w:rPr>
        <w:t xml:space="preserve">streamlit run churn_dashboard.py</w:t>
      </w:r>
    </w:p>
    <w:p w14:paraId="001000CA" w14:textId="001000CB">
      <w:pPr>
        <w:spacing w:after="320"/>
      </w:pPr>
      <w:r>
        <w:rPr>
          <w:sz w:val="24"/>
        </w:rPr>
        <w:t xml:space="preserve">Opens at http://localhost:8501. First load takes approximately 30 seconds; all subsequent navigation is instant due to Streamlit caching.</w:t>
      </w:r>
    </w:p>
    <w:p w14:paraId="001000CC" w14:textId="001000CD">
      <w:pPr>
        <w:pStyle w:val="Heading1"/>
        <w:spacing w:after="160"/>
      </w:pPr>
      <w:r>
        <w:rPr>
          <w:b/>
          <w:sz w:val="36"/>
        </w:rPr>
        <w:t xml:space="preserve">Files Delivered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E" w14:textId="001000CF">
            <w:r>
              <w:t xml:space="preserve">File</w:t>
            </w:r>
          </w:p>
        </w:tc>
        <w:tc>
          <w:p w14:paraId="001000D0" w14:textId="001000D1">
            <w:r>
              <w:t xml:space="preserve">Description</w:t>
            </w:r>
          </w:p>
        </w:tc>
      </w:tr>
      <w:tr>
        <w:trPr/>
        <w:tc>
          <w:p w14:paraId="001000D2" w14:textId="001000D3">
            <w:r>
              <w:t xml:space="preserve">churn_dashboard.py</w:t>
            </w:r>
          </w:p>
        </w:tc>
        <w:tc>
          <w:p w14:paraId="001000D4" w14:textId="001000D5">
            <w:r>
              <w:t xml:space="preserve">All code: data cleaning, ML model, Streamlit and Plotly dashboard</w:t>
            </w:r>
          </w:p>
        </w:tc>
      </w:tr>
      <w:tr>
        <w:trPr/>
        <w:tc>
          <w:p w14:paraId="001000D6" w14:textId="001000D7">
            <w:r>
              <w:t xml:space="preserve">requirements.txt</w:t>
            </w:r>
          </w:p>
        </w:tc>
        <w:tc>
          <w:p w14:paraId="001000D8" w14:textId="001000D9">
            <w:r>
              <w:t xml:space="preserve">Python library dependencies with pinned versions</w:t>
            </w:r>
          </w:p>
        </w:tc>
      </w:tr>
      <w:tr>
        <w:trPr/>
        <w:tc>
          <w:p w14:paraId="001000DA" w14:textId="001000DB">
            <w:r>
              <w:t xml:space="preserve">README.md</w:t>
            </w:r>
          </w:p>
        </w:tc>
        <w:tc>
          <w:p w14:paraId="001000DC" w14:textId="001000DD">
            <w:r>
              <w:t xml:space="preserve">Project overview, setup steps, model notes, retention column decision, dataset link</w:t>
            </w:r>
          </w:p>
        </w:tc>
      </w:tr>
      <w:tr>
        <w:trPr/>
        <w:tc>
          <w:p w14:paraId="001000DE" w14:textId="001000DF">
            <w:r>
              <w:t xml:space="preserve">churn_report.docx</w:t>
            </w:r>
          </w:p>
        </w:tc>
        <w:tc>
          <w:p w14:paraId="001000E0" w14:textId="001000E1">
            <w:r>
              <w:t xml:space="preserve">This business intelligence report (Word document)</w:t>
            </w:r>
          </w:p>
        </w:tc>
      </w:tr>
    </w:tbl>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7fc4a9a454c2489e" /><Relationship Type="http://schemas.openxmlformats.org/officeDocument/2006/relationships/styles" Target="/word/styles.xml" Id="Raebe5f12c9854bbb" /><Relationship Type="http://schemas.openxmlformats.org/officeDocument/2006/relationships/theme" Target="/word/theme/theme1.xml" Id="Rc2084d7756d24a82" /><Relationship Type="http://schemas.openxmlformats.org/officeDocument/2006/relationships/numbering" Target="/word/numbering.xml" Id="R15da1ac13c8e40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2026-09-24T17:12:05Z</dcterms:created>
  <cp:lastModifiedBy>OfficeCLI</cp:lastModifiedBy>
  <dcterms:modified xsi:type="dcterms:W3CDTF">2026-09-24T17:12:05Z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2026-09-24T17:12:07Z</vt:lpwstr>
  </op:property>
</op:Properties>
</file>