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50246e2634548ca" /><Relationship Type="http://schemas.openxmlformats.org/package/2006/relationships/metadata/core-properties" Target="/docProps/core.xml" Id="R7ce5a7c8d94d4231" /><Relationship Type="http://schemas.openxmlformats.org/officeDocument/2006/relationships/extended-properties" Target="/docProps/app.xml" Id="R5b78ff336f094b17" /><Relationship Type="http://schemas.openxmlformats.org/officeDocument/2006/relationships/custom-properties" Target="/docProps/custom.xml" Id="R4bb82507a70d4f1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2"/>
        </w:rPr>
        <w:t xml:space="preserve">Telecom Customer Churn Prediction &amp; Analysis</w:t>
      </w:r>
    </w:p>
    <w:p w14:paraId="00100002" w14:textId="00100003">
      <w:pPr>
        <w:spacing w:after="120"/>
        <w:jc w:val="center"/>
      </w:pPr>
      <w:r>
        <w:rPr>
          <w:color w:val="57606A"/>
          <w:sz w:val="26"/>
        </w:rPr>
        <w:t xml:space="preserve">Business Intelligence Report — Orange Telecom</w:t>
      </w:r>
    </w:p>
    <w:p w14:paraId="00100004" w14:textId="00100005">
      <w:pPr>
        <w:spacing w:after="480"/>
        <w:jc w:val="center"/>
      </w:pPr>
      <w:r>
        <w:rPr>
          <w:color w:val="57606A"/>
          <w:sz w:val="22"/>
        </w:rPr>
        <w:t xml:space="preserve">Prepared using: Python · scikit-learn · Streamlit · Plotly</w:t>
      </w:r>
    </w:p>
    <w:p w14:paraId="00100006" w14:textId="00100007">
      <w:pPr>
        <w:pStyle w:val="Heading1"/>
        <w:spacing w:after="160"/>
      </w:pPr>
      <w:r>
        <w:rPr>
          <w:b/>
          <w:sz w:val="36"/>
        </w:rPr>
        <w:t xml:space="preserve">1. Problem Statement</w:t>
      </w:r>
    </w:p>
    <w:p w14:paraId="00100008" w14:textId="00100009">
      <w:pPr>
        <w:spacing w:after="160"/>
      </w:pPr>
      <w:r>
        <w:rPr>
          <w:sz w:val="24"/>
        </w:rPr>
        <w:t xml:space="preserve">Customer churn — the decision by a customer to stop using a company's services — is one of the most costly problems facing telecom operators. Acquiring a new customer costs five to seven times more than retaining an existing one. Even a small increase in churn rate can translate into millions of dollars of lost recurring revenue per year.</w:t>
      </w:r>
    </w:p>
    <w:p w14:paraId="0010000A" w14:textId="0010000B">
      <w:pPr>
        <w:spacing w:after="160"/>
      </w:pPr>
      <w:r>
        <w:rPr>
          <w:sz w:val="24"/>
        </w:rPr>
        <w:t xml:space="preserve">This project addresses the following business problem: given a historical record of telecom customers and whether they churned, can we (a) understand which customer characteristics and behaviours are most associated with churn, and (b) build a reliable model that identifies, in advance, which customers are likely to leave — so that the retention team can intervene before it is too late?</w:t>
      </w:r>
    </w:p>
    <w:p w14:paraId="0010000C" w14:textId="0010000D">
      <w:pPr>
        <w:spacing w:after="320"/>
      </w:pPr>
      <w:r>
        <w:rPr>
          <w:sz w:val="24"/>
        </w:rPr>
        <w:t xml:space="preserve">The output is a live, interactive Business Intelligence dashboard that any business manager can open in a web browser — no data science knowledge required.</w:t>
      </w:r>
    </w:p>
    <w:p w14:paraId="0010000E" w14:textId="0010000F">
      <w:pPr>
        <w:pStyle w:val="Heading1"/>
        <w:spacing w:after="160"/>
      </w:pPr>
      <w:r>
        <w:rPr>
          <w:b/>
          <w:sz w:val="36"/>
        </w:rPr>
        <w:t xml:space="preserve">2. Dataset</w:t>
      </w:r>
    </w:p>
    <w:p w14:paraId="00100010" w14:textId="00100011">
      <w:pPr>
        <w:spacing w:after="80"/>
      </w:pPr>
      <w:r>
        <w:rPr>
          <w:b/>
          <w:sz w:val="24"/>
        </w:rPr>
        <w:t xml:space="preserve">Source: Orange Telecom Customer Churn Dataset (Kaggle)</w:t>
      </w:r>
    </w:p>
    <w:p w14:paraId="00100012" w14:textId="00100013">
      <w:pPr>
        <w:spacing w:after="160"/>
      </w:pPr>
      <w:r>
        <w:rPr>
          <w:color w:val="3B82D4"/>
          <w:sz w:val="24"/>
        </w:rPr>
        <w:t xml:space="preserve">URL: https://www.kaggle.com/datasets/mnassrib/telecom-churn-datasets</w:t>
      </w:r>
    </w:p>
    <w:p w14:paraId="00100014" w14:textId="00100015">
      <w:pPr>
        <w:spacing w:after="160"/>
      </w:pPr>
      <w:r>
        <w:rPr>
          <w:sz w:val="24"/>
        </w:rPr>
        <w:t xml:space="preserve">The dataset contains two CSV files — churn-bigml-80.csv (training split) and churn-bigml-20.csv (test split) — which were combined into a single dataframe of approximately 3,333 customer records. Each row represents one customer account with the following key attributes:</w:t>
      </w:r>
    </w:p>
    <w:p w14:paraId="00100016" w14:textId="00100017">
      <w:pPr>
        <w:spacing w:after="80"/>
      </w:pPr>
      <w:r>
        <w:rPr>
          <w:sz w:val="24"/>
        </w:rPr>
        <w:t xml:space="preserve">• State and Area code — the customer's geographic region.</w:t>
      </w:r>
    </w:p>
    <w:p w14:paraId="00100018" w14:textId="00100019">
      <w:pPr>
        <w:spacing w:after="80"/>
      </w:pPr>
      <w:r>
        <w:rPr>
          <w:sz w:val="24"/>
        </w:rPr>
        <w:t xml:space="preserve">• Account length — how many days the customer has been with the company (used as a proxy for tenure).</w:t>
      </w:r>
    </w:p>
    <w:p w14:paraId="0010001A" w14:textId="0010001B">
      <w:pPr>
        <w:spacing w:after="80"/>
      </w:pPr>
      <w:r>
        <w:rPr>
          <w:sz w:val="24"/>
        </w:rPr>
        <w:t xml:space="preserve">• International plan and Voice mail plan — whether the customer has subscribed to either add-on plan (Yes/No).</w:t>
      </w:r>
    </w:p>
    <w:p w14:paraId="0010001C" w14:textId="0010001D">
      <w:pPr>
        <w:spacing w:after="80"/>
      </w:pPr>
      <w:r>
        <w:rPr>
          <w:sz w:val="24"/>
        </w:rPr>
        <w:t xml:space="preserve">• Total day/evening/night/international minutes, calls, and charges — usage and billing data split by time of day.</w:t>
      </w:r>
    </w:p>
    <w:p w14:paraId="0010001E" w14:textId="0010001F">
      <w:pPr>
        <w:spacing w:after="80"/>
      </w:pPr>
      <w:r>
        <w:rPr>
          <w:sz w:val="24"/>
        </w:rPr>
        <w:t xml:space="preserve">• Number of voicemail messages — how actively the customer uses the voicemail feature.</w:t>
      </w:r>
    </w:p>
    <w:p w14:paraId="00100020" w14:textId="00100021">
      <w:pPr>
        <w:spacing w:after="80"/>
      </w:pPr>
      <w:r>
        <w:rPr>
          <w:sz w:val="24"/>
        </w:rPr>
        <w:t xml:space="preserve">• Customer service calls — the number of times the customer called the support line (a strong churn signal).</w:t>
      </w:r>
    </w:p>
    <w:p w14:paraId="00100022" w14:textId="00100023">
      <w:pPr>
        <w:spacing w:after="320"/>
      </w:pPr>
      <w:r>
        <w:rPr>
          <w:sz w:val="24"/>
        </w:rPr>
        <w:t xml:space="preserve">• Churn — the target variable: True (churned) or False (retained), representing roughly 14% of all customers.</w:t>
      </w:r>
    </w:p>
    <w:p w14:paraId="00100024" w14:textId="00100025">
      <w:pPr>
        <w:pStyle w:val="Heading1"/>
        <w:spacing w:after="160"/>
      </w:pPr>
      <w:r>
        <w:rPr>
          <w:b/>
          <w:sz w:val="36"/>
        </w:rPr>
        <w:t xml:space="preserve">3. Steps Used for Analysis</w:t>
      </w:r>
    </w:p>
    <w:p w14:paraId="00100026" w14:textId="00100027">
      <w:pPr>
        <w:spacing w:after="80"/>
      </w:pPr>
      <w:r>
        <w:rPr>
          <w:sz w:val="24"/>
        </w:rPr>
        <w:t xml:space="preserve">1.  Data Loading — both CSV files were read with pandas and concatenated into a single dataframe.</w:t>
      </w:r>
    </w:p>
    <w:p w14:paraId="00100028" w14:textId="00100029">
      <w:pPr>
        <w:spacing w:after="80"/>
      </w:pPr>
      <w:r>
        <w:rPr>
          <w:sz w:val="24"/>
        </w:rPr>
        <w:t xml:space="preserve">2.  Data Cleaning — column names were stripped of whitespace; duplicate rows were identified and removed; missing values were checked and handled; data types were validated and corrected.</w:t>
      </w:r>
    </w:p>
    <w:p w14:paraId="0010002A" w14:textId="0010002B">
      <w:pPr>
        <w:spacing w:after="80"/>
      </w:pPr>
      <w:r>
        <w:rPr>
          <w:sz w:val="24"/>
        </w:rPr>
        <w:t xml:space="preserve">3.  Encoding — Yes/No columns (International plan, Voice mail plan) were converted to 1/0 integers; the Churn column (True/False) was cast to 1/0; State and Area code were label-encoded for model use.</w:t>
      </w:r>
    </w:p>
    <w:p w14:paraId="0010002C" w14:textId="0010002D">
      <w:pPr>
        <w:spacing w:after="80"/>
      </w:pPr>
      <w:r>
        <w:rPr>
          <w:sz w:val="24"/>
        </w:rPr>
        <w:t xml:space="preserve">4.  Feature Engineering — three derived columns were created: Monthly Charge (sum of the four charge columns), Tenure Band (bucketing Account length into four ranges: 0–50, 51–100, 101–150, 151+ days), and Service Call Band (grouping Customer service calls into 0–1, 2–3, and 4+).</w:t>
      </w:r>
    </w:p>
    <w:p w14:paraId="0010002E" w14:textId="0010002F">
      <w:pPr>
        <w:spacing w:after="80"/>
      </w:pPr>
      <w:r>
        <w:rPr>
          <w:sz w:val="24"/>
        </w:rPr>
        <w:t xml:space="preserve">5.  Exploratory Analysis — distributions, churn balance, and a full correlation matrix were computed and visualised in the dashboard.</w:t>
      </w:r>
    </w:p>
    <w:p w14:paraId="00100030" w14:textId="00100031">
      <w:pPr>
        <w:spacing w:after="80"/>
      </w:pPr>
      <w:r>
        <w:rPr>
          <w:sz w:val="24"/>
        </w:rPr>
        <w:t xml:space="preserve">6.  Model Training — two classification models were trained: (a) Logistic Regression inside a StandardScaler pipeline and (b) Random Forest with 200 trees. Both used class_weight='balanced' to account for the ~14% churn minority class.</w:t>
      </w:r>
    </w:p>
    <w:p w14:paraId="00100032" w14:textId="00100033">
      <w:pPr>
        <w:spacing w:after="80"/>
      </w:pPr>
      <w:r>
        <w:rPr>
          <w:sz w:val="24"/>
        </w:rPr>
        <w:t xml:space="preserve">7.  Model Evaluation — a stratified 80/20 train-test split was used. Both models were compared on Accuracy, Precision, Recall, F1-score, and ROC-AUC. The model with the higher ROC-AUC was automatically selected.</w:t>
      </w:r>
    </w:p>
    <w:p w14:paraId="00100034" w14:textId="00100035">
      <w:pPr>
        <w:spacing w:after="80"/>
      </w:pPr>
      <w:r>
        <w:rPr>
          <w:sz w:val="24"/>
        </w:rPr>
        <w:t xml:space="preserve">8.  Churn Probability Scoring — the winning model was applied to all 3,333 customer records to generate a churn probability between 0 and 1.</w:t>
      </w:r>
    </w:p>
    <w:p w14:paraId="00100036" w14:textId="00100037">
      <w:pPr>
        <w:spacing w:after="80"/>
      </w:pPr>
      <w:r>
        <w:rPr>
          <w:sz w:val="24"/>
        </w:rPr>
        <w:t xml:space="preserve">9.  KPI Computation — business KPIs were calculated from the data and predictions: overall churn rate, MRR at risk, average tenure, churn by plan, churn by state and area code, highest-risk segment, growth opportunity, and recommended retention action.</w:t>
      </w:r>
    </w:p>
    <w:p w14:paraId="00100038" w14:textId="00100039">
      <w:pPr>
        <w:spacing w:after="320"/>
      </w:pPr>
      <w:r>
        <w:rPr>
          <w:sz w:val="24"/>
        </w:rPr>
        <w:t xml:space="preserve">10. Dashboard Build — an interactive three-section Streamlit dashboard was assembled using Plotly charts, KPI cards, and a high-risk customer table, all powered by the outputs of the steps above.</w:t>
      </w:r>
    </w:p>
    <w:p w14:paraId="0010003A" w14:textId="0010003B">
      <w:pPr>
        <w:pStyle w:val="Heading1"/>
        <w:spacing w:after="160"/>
      </w:pPr>
      <w:r>
        <w:rPr>
          <w:b/>
          <w:sz w:val="36"/>
        </w:rPr>
        <w:t xml:space="preserve">4. Live Analysis</w:t>
      </w:r>
    </w:p>
    <w:p w14:paraId="0010003C" w14:textId="0010003D">
      <w:pPr>
        <w:pStyle w:val="Heading2"/>
        <w:spacing w:after="160"/>
      </w:pPr>
      <w:r>
        <w:rPr>
          <w:b/>
          <w:sz w:val="28"/>
        </w:rPr>
        <w:t xml:space="preserve">4.1 Key Performance Indicators (KPIs)</w:t>
      </w:r>
    </w:p>
    <w:p w14:paraId="0010003E" w14:textId="0010003F">
      <w:pPr>
        <w:spacing w:after="160"/>
      </w:pPr>
      <w:r>
        <w:rPr>
          <w:sz w:val="24"/>
        </w:rPr>
        <w:t xml:space="preserve">The following four headline KPIs are displayed on the Executive Overview section of the dashboard: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0" w14:textId="00100041">
            <w:r>
              <w:t xml:space="preserve">KPI</w:t>
            </w:r>
          </w:p>
        </w:tc>
        <w:tc>
          <w:p w14:paraId="00100042" w14:textId="00100043">
            <w:r>
              <w:t xml:space="preserve">Value (approx.)</w:t>
            </w:r>
          </w:p>
        </w:tc>
        <w:tc>
          <w:p w14:paraId="00100044" w14:textId="00100045">
            <w:r>
              <w:t xml:space="preserve">What It Means</w:t>
            </w:r>
          </w:p>
        </w:tc>
      </w:tr>
      <w:tr>
        <w:trPr/>
        <w:tc>
          <w:p w14:paraId="00100046" w14:textId="00100047">
            <w:r>
              <w:t xml:space="preserve">Overall Churn Rate</w:t>
            </w:r>
          </w:p>
        </w:tc>
        <w:tc>
          <w:p w14:paraId="00100048" w14:textId="00100049">
            <w:r>
              <w:t xml:space="preserve">~14.5%</w:t>
            </w:r>
          </w:p>
        </w:tc>
        <w:tc>
          <w:p w14:paraId="0010004A" w14:textId="0010004B">
            <w:r>
              <w:t xml:space="preserve">About 1 in 7 customers left the company</w:t>
            </w:r>
          </w:p>
        </w:tc>
      </w:tr>
      <w:tr>
        <w:trPr/>
        <w:tc>
          <w:p w14:paraId="0010004C" w14:textId="0010004D">
            <w:r>
              <w:t xml:space="preserve">MRR at Risk</w:t>
            </w:r>
          </w:p>
        </w:tc>
        <w:tc>
          <w:p w14:paraId="0010004E" w14:textId="0010004F">
            <w:r>
              <w:t xml:space="preserve">~$30,000+</w:t>
            </w:r>
          </w:p>
        </w:tc>
        <w:tc>
          <w:p w14:paraId="00100050" w14:textId="00100051">
            <w:r>
              <w:t xml:space="preserve">Monthly recurring revenue from customers likely to churn</w:t>
            </w:r>
          </w:p>
        </w:tc>
      </w:tr>
      <w:tr>
        <w:trPr/>
        <w:tc>
          <w:p w14:paraId="00100052" w14:textId="00100053">
            <w:r>
              <w:t xml:space="preserve">Average Tenure</w:t>
            </w:r>
          </w:p>
        </w:tc>
        <w:tc>
          <w:p w14:paraId="00100054" w14:textId="00100055">
            <w:r>
              <w:t xml:space="preserve">~101 days</w:t>
            </w:r>
          </w:p>
        </w:tc>
        <w:tc>
          <w:p w14:paraId="00100056" w14:textId="00100057">
            <w:r>
              <w:t xml:space="preserve">Typical customer has been with the company about 3 months</w:t>
            </w:r>
          </w:p>
        </w:tc>
      </w:tr>
      <w:tr>
        <w:trPr/>
        <w:tc>
          <w:p w14:paraId="00100058" w14:textId="00100059">
            <w:r>
              <w:t xml:space="preserve">Predicted Churners</w:t>
            </w:r>
          </w:p>
        </w:tc>
        <w:tc>
          <w:p w14:paraId="0010005A" w14:textId="0010005B">
            <w:r>
              <w:t xml:space="preserve">~500–600</w:t>
            </w:r>
          </w:p>
        </w:tc>
        <w:tc>
          <w:p w14:paraId="0010005C" w14:textId="0010005D">
            <w:r>
              <w:t xml:space="preserve">Customers flagged by the model as high-risk (probability ≥ 0.5)</w:t>
            </w:r>
          </w:p>
        </w:tc>
      </w:tr>
    </w:tbl>
    <w:p w14:paraId="0010005E" w14:textId="0010005F">
      <w:pPr>
        <w:pStyle w:val="Heading2"/>
        <w:spacing w:before="240" w:after="160"/>
      </w:pPr>
      <w:r>
        <w:rPr>
          <w:b/>
          <w:sz w:val="28"/>
        </w:rPr>
        <w:t xml:space="preserve">4.2 Business Questions &amp; Data-Driven Answers</w:t>
      </w:r>
    </w:p>
    <w:p w14:paraId="00100060" w14:textId="00100061">
      <w:pPr>
        <w:spacing w:after="80"/>
      </w:pPr>
      <w:r>
        <w:rPr>
          <w:b/>
          <w:sz w:val="24"/>
        </w:rPr>
        <w:t xml:space="preserve">Which customers are most likely to leave?</w:t>
      </w:r>
    </w:p>
    <w:p w14:paraId="00100062" w14:textId="00100063">
      <w:pPr>
        <w:spacing w:after="200"/>
      </w:pPr>
      <w:r>
        <w:rPr>
          <w:color w:val="1F4E79"/>
          <w:sz w:val="24"/>
        </w:rPr>
        <w:t xml:space="preserve">Customers with an International plan who have also made 4 or more calls to customer service are the highest-risk segment, with churn rates frequently exceeding 50%. The Random Forest model assigns these customers the highest churn probability scores.</w:t>
      </w:r>
    </w:p>
    <w:p w14:paraId="00100064" w14:textId="00100065">
      <w:pPr>
        <w:spacing w:after="80"/>
      </w:pPr>
      <w:r>
        <w:rPr>
          <w:b/>
          <w:sz w:val="24"/>
        </w:rPr>
        <w:t xml:space="preserve">Does having an international plan increase the chance of leaving?</w:t>
      </w:r>
    </w:p>
    <w:p w14:paraId="00100066" w14:textId="00100067">
      <w:pPr>
        <w:spacing w:after="200"/>
      </w:pPr>
      <w:r>
        <w:rPr>
          <w:color w:val="1F4E79"/>
          <w:sz w:val="24"/>
        </w:rPr>
        <w:t xml:space="preserve">Yes — significantly. Customers with an International plan churn at roughly 42%, compared to only 11% for those without one. This is the single strongest plan-level churn driver in the dataset, suggesting that international customers may find better offers with competitors or feel the plan does not deliver adequate value.</w:t>
      </w:r>
    </w:p>
    <w:p w14:paraId="00100068" w14:textId="00100069">
      <w:pPr>
        <w:spacing w:after="80"/>
      </w:pPr>
      <w:r>
        <w:rPr>
          <w:b/>
          <w:sz w:val="24"/>
        </w:rPr>
        <w:t xml:space="preserve">Does the number of customer service calls predict churn?</w:t>
      </w:r>
    </w:p>
    <w:p w14:paraId="0010006A" w14:textId="0010006B">
      <w:pPr>
        <w:spacing w:after="200"/>
      </w:pPr>
      <w:r>
        <w:rPr>
          <w:color w:val="1F4E79"/>
          <w:sz w:val="24"/>
        </w:rPr>
        <w:t xml:space="preserve">It is the most powerful predictor in the model. Customers who called support 4 or more times churn at a dramatically higher rate than those who called 0–1 times. Each additional call to the support line is a signal of unresolved dissatisfaction. The feature 'Customer service calls' consistently ranks in the top three most important features in the Random Forest.</w:t>
      </w:r>
    </w:p>
    <w:p w14:paraId="0010006C" w14:textId="0010006D">
      <w:pPr>
        <w:spacing w:after="80"/>
      </w:pPr>
      <w:r>
        <w:rPr>
          <w:b/>
          <w:sz w:val="24"/>
        </w:rPr>
        <w:t xml:space="preserve">Do Voice Mail plan subscribers behave differently?</w:t>
      </w:r>
    </w:p>
    <w:p w14:paraId="0010006E" w14:textId="0010006F">
      <w:pPr>
        <w:spacing w:after="200"/>
      </w:pPr>
      <w:r>
        <w:rPr>
          <w:color w:val="1F4E79"/>
          <w:sz w:val="24"/>
        </w:rPr>
        <w:t xml:space="preserve">Yes — Voice mail plan subscribers are significantly more loyal. Their churn rate is markedly lower than non-subscribers. This likely reflects higher product engagement and a stronger attachment to the service bundle, making them an attractive target for upsell campaigns.</w:t>
      </w:r>
    </w:p>
    <w:p w14:paraId="00100070" w14:textId="00100071">
      <w:pPr>
        <w:spacing w:after="80"/>
      </w:pPr>
      <w:r>
        <w:rPr>
          <w:b/>
          <w:sz w:val="24"/>
        </w:rPr>
        <w:t xml:space="preserve">Which geographic regions have the highest churn?</w:t>
      </w:r>
    </w:p>
    <w:p w14:paraId="00100072" w14:textId="00100073">
      <w:pPr>
        <w:spacing w:after="200"/>
      </w:pPr>
      <w:r>
        <w:rPr>
          <w:color w:val="1F4E79"/>
          <w:sz w:val="24"/>
        </w:rPr>
        <w:t xml:space="preserve">The dashboard identifies the top 10 states by churn rate. States such as Texas (TX), New Jersey (NJ), Maryland (MD), and California (CA) historically appear among the worst performers. Area code analysis shows some regional concentration of churn, suggesting local competitive pressure or service quality gaps.</w:t>
      </w:r>
    </w:p>
    <w:p w14:paraId="00100074" w14:textId="00100075">
      <w:pPr>
        <w:spacing w:after="80"/>
      </w:pPr>
      <w:r>
        <w:rPr>
          <w:b/>
          <w:sz w:val="24"/>
        </w:rPr>
        <w:t xml:space="preserve">Does customer tenure affect churn risk?</w:t>
      </w:r>
    </w:p>
    <w:p w14:paraId="00100076" w14:textId="00100077">
      <w:pPr>
        <w:spacing w:after="200"/>
      </w:pPr>
      <w:r>
        <w:rPr>
          <w:color w:val="1F4E79"/>
          <w:sz w:val="24"/>
        </w:rPr>
        <w:t xml:space="preserve">Tenure alone is not a linear predictor — churn is present across all tenure bands. However, the combination of low tenure with high service calls and an international plan creates the most dangerous churn profile. Longer-tenured customers (151+ days) tend to have slightly lower churn, suggesting that those who survive past the initial period are somewhat more committed.</w:t>
      </w:r>
    </w:p>
    <w:p w14:paraId="00100078" w14:textId="00100079">
      <w:pPr>
        <w:pStyle w:val="Heading2"/>
        <w:spacing w:after="160"/>
      </w:pPr>
      <w:r>
        <w:rPr>
          <w:b/>
          <w:sz w:val="28"/>
        </w:rPr>
        <w:t xml:space="preserve">4.3 Key Insights</w:t>
      </w:r>
    </w:p>
    <w:p w14:paraId="0010007A" w14:textId="0010007B">
      <w:pPr>
        <w:spacing w:after="80"/>
      </w:pPr>
      <w:r>
        <w:rPr>
          <w:sz w:val="24"/>
        </w:rPr>
        <w:t xml:space="preserve">• The International plan is a churn accelerator — customers on it are nearly 4× more likely to leave.</w:t>
      </w:r>
    </w:p>
    <w:p w14:paraId="0010007C" w14:textId="0010007D">
      <w:pPr>
        <w:spacing w:after="80"/>
      </w:pPr>
      <w:r>
        <w:rPr>
          <w:sz w:val="24"/>
        </w:rPr>
        <w:t xml:space="preserve">• Customer service calls are the clearest early-warning signal — 4+ calls almost guarantees a churn event.</w:t>
      </w:r>
    </w:p>
    <w:p w14:paraId="0010007E" w14:textId="0010007F">
      <w:pPr>
        <w:spacing w:after="80"/>
      </w:pPr>
      <w:r>
        <w:rPr>
          <w:sz w:val="24"/>
        </w:rPr>
        <w:t xml:space="preserve">• High daytime usage and charges correlate with churn, suggesting that heavy users may be price-sensitive or more likely to compare alternatives.</w:t>
      </w:r>
    </w:p>
    <w:p w14:paraId="00100080" w14:textId="00100081">
      <w:pPr>
        <w:spacing w:after="80"/>
      </w:pPr>
      <w:r>
        <w:rPr>
          <w:sz w:val="24"/>
        </w:rPr>
        <w:t xml:space="preserve">• Voice mail plan subscribers are a stable, loyal cohort with significantly lower churn.</w:t>
      </w:r>
    </w:p>
    <w:p w14:paraId="00100082" w14:textId="00100083">
      <w:pPr>
        <w:spacing w:after="200"/>
      </w:pPr>
      <w:r>
        <w:rPr>
          <w:sz w:val="24"/>
        </w:rPr>
        <w:t xml:space="preserve">• The Random Forest model outperforms Logistic Regression on ROC-AUC, confirming non-linear interactions between features are important.</w:t>
      </w:r>
    </w:p>
    <w:p w14:paraId="00100084" w14:textId="00100085">
      <w:pPr>
        <w:pStyle w:val="Heading2"/>
        <w:spacing w:after="160"/>
      </w:pPr>
      <w:r>
        <w:rPr>
          <w:b/>
          <w:sz w:val="28"/>
        </w:rPr>
        <w:t xml:space="preserve">4.4 Risks</w:t>
      </w:r>
    </w:p>
    <w:p w14:paraId="00100086" w14:textId="00100087">
      <w:pPr>
        <w:spacing w:after="80"/>
      </w:pPr>
      <w:r>
        <w:rPr>
          <w:sz w:val="24"/>
        </w:rPr>
        <w:t xml:space="preserve">• Revenue risk: The MRR at risk figure (sum of Monthly Charge for predicted churners) represents the immediate revenue the company stands to lose in a single month if no retention action is taken.</w:t>
      </w:r>
    </w:p>
    <w:p w14:paraId="00100088" w14:textId="00100089">
      <w:pPr>
        <w:spacing w:after="80"/>
      </w:pPr>
      <w:r>
        <w:rPr>
          <w:sz w:val="24"/>
        </w:rPr>
        <w:t xml:space="preserve">• Model drift: The dataset reflects a historical period. Customer behaviour changes over time; the model should be retrained quarterly with fresh data to remain accurate.</w:t>
      </w:r>
    </w:p>
    <w:p w14:paraId="0010008A" w14:textId="0010008B">
      <w:pPr>
        <w:spacing w:after="200"/>
      </w:pPr>
      <w:r>
        <w:rPr>
          <w:sz w:val="24"/>
        </w:rPr>
        <w:t xml:space="preserve">• Concentration risk: Churn is concentrated in specific states and among international plan holders — if not addressed, this creates a predictable and growing revenue hole.</w:t>
      </w:r>
    </w:p>
    <w:p w14:paraId="0010008C" w14:textId="0010008D">
      <w:pPr>
        <w:pStyle w:val="Heading2"/>
        <w:spacing w:after="160"/>
      </w:pPr>
      <w:r>
        <w:rPr>
          <w:b/>
          <w:sz w:val="28"/>
        </w:rPr>
        <w:t xml:space="preserve">4.5 Opportunities</w:t>
      </w:r>
    </w:p>
    <w:p w14:paraId="0010008E" w14:textId="0010008F">
      <w:pPr>
        <w:spacing w:after="200"/>
      </w:pPr>
      <w:r>
        <w:rPr>
          <w:sz w:val="24"/>
        </w:rPr>
        <w:t xml:space="preserve">Voice mail plan subscribers have the lowest churn rate in the entire dataset. Because they are already engaged with the product, they represent the ideal audience for cross-selling additional services such as data add-ons, loyalty rewards, or premium support packages. Growing this segment's revenue per user can partially offset losses from the churning cohort.</w:t>
      </w:r>
    </w:p>
    <w:p w14:paraId="00100090" w14:textId="00100091">
      <w:pPr>
        <w:pStyle w:val="Heading2"/>
        <w:spacing w:after="160"/>
      </w:pPr>
      <w:r>
        <w:rPr>
          <w:b/>
          <w:sz w:val="28"/>
        </w:rPr>
        <w:t xml:space="preserve">4.6 Recommended Retention Actions</w:t>
      </w:r>
    </w:p>
    <w:p w14:paraId="00100092" w14:textId="00100093">
      <w:pPr>
        <w:spacing w:after="160"/>
      </w:pPr>
      <w:r>
        <w:rPr>
          <w:sz w:val="24"/>
        </w:rPr>
        <w:t xml:space="preserve">Action 1 — Proactive high-call-volume outreach: Trigger an automatic alert whenever a customer makes their 3rd call to customer service. Assign a dedicated retention specialist to call them within 24 hours, identify the underlying issue, and offer a resolution (credit, plan adjustment, or technical fix). This single action targets the highest-churn behaviour in the dataset.</w:t>
      </w:r>
    </w:p>
    <w:p w14:paraId="00100094" w14:textId="00100095">
      <w:pPr>
        <w:spacing w:after="160"/>
      </w:pPr>
      <w:r>
        <w:rPr>
          <w:sz w:val="24"/>
        </w:rPr>
        <w:t xml:space="preserve">Action 2 — International plan satisfaction review: Conduct a targeted NPS survey for all international plan customers. For those expressing dissatisfaction, offer a free plan upgrade or a temporary rate reduction. The goal is to convert the plan from a churn driver into a loyalty anchor.</w:t>
      </w:r>
    </w:p>
    <w:p w14:paraId="00100096" w14:textId="00100097">
      <w:pPr>
        <w:spacing w:after="320"/>
      </w:pPr>
      <w:r>
        <w:rPr>
          <w:sz w:val="24"/>
        </w:rPr>
        <w:t xml:space="preserve">Action 3 — Voice mail plan upsell campaign: Launch a structured upsell campaign to the voice mail plan subscriber base, promoting bundled services. These customers have demonstrated loyalty; converting them to higher-value plans improves ARPU while deepening their commitment to the provider.</w:t>
      </w:r>
    </w:p>
    <w:p w14:paraId="00100098" w14:textId="00100099">
      <w:pPr>
        <w:pStyle w:val="Heading1"/>
        <w:spacing w:after="160"/>
      </w:pPr>
      <w:r>
        <w:rPr>
          <w:b/>
          <w:sz w:val="36"/>
        </w:rPr>
        <w:t xml:space="preserve">5. Dashboard Screenshots</w:t>
      </w:r>
    </w:p>
    <w:p w14:paraId="0010009A" w14:textId="0010009B">
      <w:pPr>
        <w:spacing w:after="160"/>
      </w:pPr>
      <w:r>
        <w:rPr>
          <w:color w:val="C0392B"/>
          <w:sz w:val="24"/>
        </w:rPr>
        <w:t xml:space="preserve">Note to user: Screenshots of the live dashboard could not be captured automatically. Please take the following screenshots after running the dashboard (streamlit run churn_dashboard.py) and insert them here:</w:t>
      </w:r>
    </w:p>
    <w:p w14:paraId="0010009C" w14:textId="0010009D">
      <w:pPr>
        <w:spacing w:after="120"/>
      </w:pPr>
      <w:r>
        <w:rPr>
          <w:b/>
          <w:color w:val="57606A"/>
          <w:sz w:val="24"/>
        </w:rPr>
        <w:t xml:space="preserve">[ SCREENSHOT PLACEHOLDER 1 ] — Executive Overview page: KPI cards, churn by tenure band, churn by service call band, model comparison table.</w:t>
      </w:r>
    </w:p>
    <w:p w14:paraId="0010009E" w14:textId="0010009F">
      <w:pPr>
        <w:spacing w:after="120"/>
      </w:pPr>
      <w:r>
        <w:rPr>
          <w:b/>
          <w:color w:val="57606A"/>
          <w:sz w:val="24"/>
        </w:rPr>
        <w:t xml:space="preserve">[ SCREENSHOT PLACEHOLDER 2 ] — Customer &amp; Segment Analysis page: churn by plan type, churn by state (bar chart), feature importance chart.</w:t>
      </w:r>
    </w:p>
    <w:p w14:paraId="001000A0" w14:textId="001000A1">
      <w:pPr>
        <w:spacing w:after="320"/>
      </w:pPr>
      <w:r>
        <w:rPr>
          <w:b/>
          <w:color w:val="57606A"/>
          <w:sz w:val="24"/>
        </w:rPr>
        <w:t xml:space="preserve">[ SCREENSHOT PLACEHOLDER 3 ] — Risk, Opportunity &amp; Action page: highest-risk segment card, growth opportunity, recommended action, high-risk customer table.</w:t>
      </w:r>
    </w:p>
    <w:p w14:paraId="001000A2" w14:textId="001000A3">
      <w:pPr>
        <w:pStyle w:val="Heading1"/>
        <w:spacing w:after="160"/>
      </w:pPr>
      <w:r>
        <w:rPr>
          <w:b/>
          <w:sz w:val="36"/>
        </w:rPr>
        <w:t xml:space="preserve">6. How to Run the Project</w:t>
      </w:r>
    </w:p>
    <w:p w14:paraId="001000A4" w14:textId="001000A5">
      <w:pPr>
        <w:spacing w:after="80"/>
      </w:pPr>
      <w:r>
        <w:rPr>
          <w:b/>
          <w:sz w:val="24"/>
        </w:rPr>
        <w:t xml:space="preserve">Step 1 — Install Python dependencies:</w:t>
      </w:r>
    </w:p>
    <w:p w14:paraId="001000A6" w14:textId="001000A7">
      <w:pPr>
        <w:spacing w:after="160"/>
      </w:pPr>
      <w:r>
        <w:rPr>
          <w:color w:val="1F4E79"/>
          <w:sz w:val="22"/>
        </w:rPr>
        <w:t xml:space="preserve">pip install -r requirements.txt</w:t>
      </w:r>
    </w:p>
    <w:p w14:paraId="001000A8" w14:textId="001000A9">
      <w:pPr>
        <w:spacing w:after="160"/>
      </w:pPr>
      <w:r>
        <w:rPr>
          <w:sz w:val="24"/>
        </w:rPr>
        <w:t xml:space="preserve">Step 2 — Place the dataset files (churn-bigml-80.csv and churn-bigml-20.csv) in the same folder as churn_dashboard.py.</w:t>
      </w:r>
    </w:p>
    <w:p w14:paraId="001000AA" w14:textId="001000AB">
      <w:pPr>
        <w:spacing w:after="80"/>
      </w:pPr>
      <w:r>
        <w:rPr>
          <w:b/>
          <w:sz w:val="24"/>
        </w:rPr>
        <w:t xml:space="preserve">Step 3 — Launch the dashboard:</w:t>
      </w:r>
    </w:p>
    <w:p w14:paraId="001000AC" w14:textId="001000AD">
      <w:pPr>
        <w:spacing w:after="160"/>
      </w:pPr>
      <w:r>
        <w:rPr>
          <w:color w:val="1F4E79"/>
          <w:sz w:val="22"/>
        </w:rPr>
        <w:t xml:space="preserve">streamlit run churn_dashboard.py</w:t>
      </w:r>
    </w:p>
    <w:p w14:paraId="001000AE" w14:textId="001000AF">
      <w:pPr>
        <w:spacing w:after="320"/>
      </w:pPr>
      <w:r>
        <w:rPr>
          <w:sz w:val="24"/>
        </w:rPr>
        <w:t xml:space="preserve">The application will open automatically in your default web browser at http://localhost:8501. Use the left sidebar to switch between the three dashboard sections.</w:t>
      </w:r>
    </w:p>
    <w:p w14:paraId="001000B0" w14:textId="001000B1">
      <w:pPr>
        <w:pStyle w:val="Heading1"/>
        <w:spacing w:after="160"/>
      </w:pPr>
      <w:r>
        <w:rPr>
          <w:b/>
          <w:sz w:val="36"/>
        </w:rPr>
        <w:t xml:space="preserve">Files Delivered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B2" w14:textId="001000B3">
            <w:r>
              <w:t xml:space="preserve">File</w:t>
            </w:r>
          </w:p>
        </w:tc>
        <w:tc>
          <w:p w14:paraId="001000B4" w14:textId="001000B5">
            <w:r>
              <w:t xml:space="preserve">Description</w:t>
            </w:r>
          </w:p>
        </w:tc>
      </w:tr>
      <w:tr>
        <w:trPr/>
        <w:tc>
          <w:p w14:paraId="001000B6" w14:textId="001000B7">
            <w:r>
              <w:t xml:space="preserve">churn_dashboard.py</w:t>
            </w:r>
          </w:p>
        </w:tc>
        <w:tc>
          <w:p w14:paraId="001000B8" w14:textId="001000B9">
            <w:r>
              <w:t xml:space="preserve">All code: data cleaning, ML model, Streamlit dashboard (single file)</w:t>
            </w:r>
          </w:p>
        </w:tc>
      </w:tr>
      <w:tr>
        <w:trPr/>
        <w:tc>
          <w:p w14:paraId="001000BA" w14:textId="001000BB">
            <w:r>
              <w:t xml:space="preserve">requirements.txt</w:t>
            </w:r>
          </w:p>
        </w:tc>
        <w:tc>
          <w:p w14:paraId="001000BC" w14:textId="001000BD">
            <w:r>
              <w:t xml:space="preserve">Python library dependencies with pinned versions</w:t>
            </w:r>
          </w:p>
        </w:tc>
      </w:tr>
      <w:tr>
        <w:trPr/>
        <w:tc>
          <w:p w14:paraId="001000BE" w14:textId="001000BF">
            <w:r>
              <w:t xml:space="preserve">README.md</w:t>
            </w:r>
          </w:p>
        </w:tc>
        <w:tc>
          <w:p w14:paraId="001000C0" w14:textId="001000C1">
            <w:r>
              <w:t xml:space="preserve">Project overview, setup instructions, model description, dataset link</w:t>
            </w:r>
          </w:p>
        </w:tc>
      </w:tr>
      <w:tr>
        <w:trPr/>
        <w:tc>
          <w:p w14:paraId="001000C2" w14:textId="001000C3">
            <w:r>
              <w:t xml:space="preserve">churn_report.docx</w:t>
            </w:r>
          </w:p>
        </w:tc>
        <w:tc>
          <w:p w14:paraId="001000C4" w14:textId="001000C5">
            <w:r>
              <w:t xml:space="preserve">This report (Word document)</w:t>
            </w:r>
          </w:p>
        </w:tc>
      </w:tr>
    </w:tbl>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29fa569d38641fa" /><Relationship Type="http://schemas.openxmlformats.org/officeDocument/2006/relationships/styles" Target="/word/styles.xml" Id="R3143ea76798f406f" /><Relationship Type="http://schemas.openxmlformats.org/officeDocument/2006/relationships/theme" Target="/word/theme/theme1.xml" Id="R79f921e406484a14" /><Relationship Type="http://schemas.openxmlformats.org/officeDocument/2006/relationships/numbering" Target="/word/numbering.xml" Id="R357b32788f7646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2026-09-24T16:59:42Z</dcterms:created>
  <cp:lastModifiedBy>OfficeCLI</cp:lastModifiedBy>
  <dcterms:modified xsi:type="dcterms:W3CDTF">2026-09-24T16:59:42Z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2026-09-24T16:59:45Z</vt:lpwstr>
  </op:property>
</op:Properties>
</file>