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rFonts w:ascii="Calibri" w:cs="Calibri" w:eastAsia="Calibri" w:hAnsi="Calibri"/>
          <w:b/>
          <w:bCs/>
          <w:color w:val="15181C"/>
          <w:sz w:val="36"/>
          <w:szCs w:val="36"/>
        </w:rPr>
        <w:t xml:space="preserve">F1 Race Strategy Intelligence</w:t>
      </w:r>
    </w:p>
    <w:p>
      <w:pPr>
        <w:spacing w:after="160"/>
      </w:pPr>
      <w:r>
        <w:rPr>
          <w:rFonts w:ascii="Calibri" w:cs="Calibri" w:eastAsia="Calibri" w:hAnsi="Calibri"/>
          <w:color w:val="5E6773"/>
          <w:sz w:val="22"/>
          <w:szCs w:val="22"/>
        </w:rPr>
        <w:t xml:space="preserve">Task 9 &amp; Task 10 Report — System Integration, Deployment, Evaluation and Responsible AI</w:t>
      </w:r>
    </w:p>
    <w:p>
      <w:pPr>
        <w:spacing w:after="160" w:before="0"/>
      </w:pPr>
      <w:r>
        <w:rPr>
          <w:rFonts w:ascii="Calibri" w:cs="Calibri" w:eastAsia="Calibri" w:hAnsi="Calibri"/>
          <w:sz w:val="20"/>
          <w:szCs w:val="20"/>
        </w:rPr>
        <w:t xml:space="preserve">This report documents how the ten-task computational-intelligence platform was integrated into one deployable system (Task 9) and evaluated end to end (Task 10). Task 9 combines symbolic reasoning (Tasks 1-3), classical machine learning (Task 6) and deep learning (Task 7) into a single POST /api/strategy/predict call that runs eight pipeline stages and a combining recommendation engine that states explicitly when ML and DL disagree, plus a downloadable strategy report (Markdown or HTML) and Docker deployment. Task 10's evaluation — functional testing, performance, a real-race domain-validation backtest, explainability validation, a responsible-AI assessment and a deployment-readiness checklist — is produced by scripts/evaluate_system.py and written to artifacts/evaluation/*.json; every figure in this document is read from those files or from other generated artifacts, never typed in by hand.</w:t>
      </w:r>
    </w:p>
    <w:p>
      <w:pPr>
        <w:pStyle w:val="Heading1"/>
        <w:pBdr>
          <w:bottom w:val="single" w:color="C41202" w:sz="8" w:space="2"/>
        </w:pBdr>
        <w:spacing w:after="100" w:before="200"/>
      </w:pPr>
      <w:r>
        <w:rPr>
          <w:rFonts w:ascii="Calibri" w:cs="Calibri" w:eastAsia="Calibri" w:hAnsi="Calibri"/>
          <w:b/>
          <w:bCs/>
          <w:color w:val="15181C"/>
          <w:sz w:val="26"/>
          <w:szCs w:val="26"/>
        </w:rPr>
        <w:t xml:space="preserve">Task 9 — System Integration &amp; Deployment</w:t>
      </w:r>
    </w:p>
    <w:p>
      <w:pPr>
        <w:pStyle w:val="Heading2"/>
        <w:spacing w:after="60" w:before="140"/>
      </w:pPr>
      <w:r>
        <w:rPr>
          <w:rFonts w:ascii="Calibri" w:cs="Calibri" w:eastAsia="Calibri" w:hAnsi="Calibri"/>
          <w:b/>
          <w:bCs/>
          <w:color w:val="C41202"/>
          <w:sz w:val="21"/>
          <w:szCs w:val="21"/>
        </w:rPr>
        <w:t xml:space="preserve">9.1 Architecture — the strategy pipeline</w:t>
      </w:r>
    </w:p>
    <w:p>
      <w:pPr>
        <w:spacing w:after="60" w:before="0"/>
      </w:pPr>
      <w:r>
        <w:rPr>
          <w:rFonts w:ascii="Calibri" w:cs="Calibri" w:eastAsia="Calibri" w:hAnsi="Calibri"/>
          <w:sz w:val="20"/>
          <w:szCs w:val="20"/>
        </w:rPr>
        <w:t xml:space="preserve">One POST to /api/strategy/predict runs all eight stages below and returns every stage's output in one response; the recommendation engine combines the expert system, ML, DL and the A* search plan, flagging disagreement explicitly rather than silently picking a model.</w:t>
      </w:r>
    </w:p>
    <w:p>
      <w:pPr>
        <w:spacing w:after="100"/>
        <w:jc w:val="center"/>
      </w:pPr>
      <w:r>
        <w:drawing>
          <wp:inline distT="0" distB="0" distL="0" distR="0">
            <wp:extent cx="5524500" cy="10287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1028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  <w:spacing w:after="60" w:before="140"/>
      </w:pPr>
      <w:r>
        <w:rPr>
          <w:rFonts w:ascii="Calibri" w:cs="Calibri" w:eastAsia="Calibri" w:hAnsi="Calibri"/>
          <w:b/>
          <w:bCs/>
          <w:color w:val="C41202"/>
          <w:sz w:val="21"/>
          <w:szCs w:val="21"/>
        </w:rPr>
        <w:t xml:space="preserve">9.2 Integrated source code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700"/>
        <w:gridCol w:w="5400"/>
      </w:tblGrid>
      <w:tr>
        <w:trPr>
          <w:tblHeader/>
        </w:trPr>
        <w:tc>
          <w:tcPr>
            <w:tcW w:type="dxa" w:w="3400"/>
            <w:shd w:fill="F2F0EA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>Module</w:t>
            </w:r>
          </w:p>
        </w:tc>
        <w:tc>
          <w:tcPr>
            <w:tcW w:type="dxa" w:w="700"/>
            <w:shd w:fill="F2F0EA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>Task</w:t>
            </w:r>
          </w:p>
        </w:tc>
        <w:tc>
          <w:tcPr>
            <w:tcW w:type="dxa" w:w="5400"/>
            <w:shd w:fill="F2F0EA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>Role</w:t>
            </w:r>
          </w:p>
        </w:tc>
      </w:tr>
      <w:tr>
        <w:tc>
          <w:tcPr>
            <w:tcW w:type="dxa" w:w="340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app/intelligence/expert_system/</w:t>
            </w:r>
          </w:p>
        </w:tc>
        <w:tc>
          <w:tcPr>
            <w:tcW w:type="dxa" w:w="70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2</w:t>
            </w:r>
          </w:p>
        </w:tc>
        <w:tc>
          <w:tcPr>
            <w:tcW w:type="dxa" w:w="540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Forward-chaining rule base (32 rules)</w:t>
            </w:r>
          </w:p>
        </w:tc>
      </w:tr>
      <w:tr>
        <w:tc>
          <w:tcPr>
            <w:tcW w:type="dxa" w:w="340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app/intelligence/search/</w:t>
            </w:r>
          </w:p>
        </w:tc>
        <w:tc>
          <w:tcPr>
            <w:tcW w:type="dxa" w:w="70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3</w:t>
            </w:r>
          </w:p>
        </w:tc>
        <w:tc>
          <w:tcPr>
            <w:tcW w:type="dxa" w:w="540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A* / BFS / DFS / UCS / Greedy over pit strategies</w:t>
            </w:r>
          </w:p>
        </w:tc>
      </w:tr>
      <w:tr>
        <w:tc>
          <w:tcPr>
            <w:tcW w:type="dxa" w:w="340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app/intelligence/ml/</w:t>
            </w:r>
          </w:p>
        </w:tc>
        <w:tc>
          <w:tcPr>
            <w:tcW w:type="dxa" w:w="70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6</w:t>
            </w:r>
          </w:p>
        </w:tc>
        <w:tc>
          <w:tcPr>
            <w:tcW w:type="dxa" w:w="540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10 classical models, chronological holdout</w:t>
            </w:r>
          </w:p>
        </w:tc>
      </w:tr>
      <w:tr>
        <w:tc>
          <w:tcPr>
            <w:tcW w:type="dxa" w:w="340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app/intelligence/dl/</w:t>
            </w:r>
          </w:p>
        </w:tc>
        <w:tc>
          <w:tcPr>
            <w:tcW w:type="dxa" w:w="70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7</w:t>
            </w:r>
          </w:p>
        </w:tc>
        <w:tc>
          <w:tcPr>
            <w:tcW w:type="dxa" w:w="540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2 Keras networks, tuned decision threshold</w:t>
            </w:r>
          </w:p>
        </w:tc>
      </w:tr>
      <w:tr>
        <w:tc>
          <w:tcPr>
            <w:tcW w:type="dxa" w:w="340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app/intelligence/xai/live.py</w:t>
            </w:r>
          </w:p>
        </w:tc>
        <w:tc>
          <w:tcPr>
            <w:tcW w:type="dxa" w:w="70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8</w:t>
            </w:r>
          </w:p>
        </w:tc>
        <w:tc>
          <w:tcPr>
            <w:tcW w:type="dxa" w:w="540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Live SHAP + point-prediction cache (shared by stages 5 &amp; 6)</w:t>
            </w:r>
          </w:p>
        </w:tc>
      </w:tr>
      <w:tr>
        <w:tc>
          <w:tcPr>
            <w:tcW w:type="dxa" w:w="340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app/services/strategy_service.py</w:t>
            </w:r>
          </w:p>
        </w:tc>
        <w:tc>
          <w:tcPr>
            <w:tcW w:type="dxa" w:w="70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9</w:t>
            </w:r>
          </w:p>
        </w:tc>
        <w:tc>
          <w:tcPr>
            <w:tcW w:type="dxa" w:w="540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Orchestrates all stages + the recommendation engine</w:t>
            </w:r>
          </w:p>
        </w:tc>
      </w:tr>
      <w:tr>
        <w:tc>
          <w:tcPr>
            <w:tcW w:type="dxa" w:w="340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app/services/strategy_report.py</w:t>
            </w:r>
          </w:p>
        </w:tc>
        <w:tc>
          <w:tcPr>
            <w:tcW w:type="dxa" w:w="70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9</w:t>
            </w:r>
          </w:p>
        </w:tc>
        <w:tc>
          <w:tcPr>
            <w:tcW w:type="dxa" w:w="540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Markdown/HTML strategy report generator</w:t>
            </w:r>
          </w:p>
        </w:tc>
      </w:tr>
      <w:tr>
        <w:tc>
          <w:tcPr>
            <w:tcW w:type="dxa" w:w="340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app/api/routers/</w:t>
            </w:r>
          </w:p>
        </w:tc>
        <w:tc>
          <w:tcPr>
            <w:tcW w:type="dxa" w:w="70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9</w:t>
            </w:r>
          </w:p>
        </w:tc>
        <w:tc>
          <w:tcPr>
            <w:tcW w:type="dxa" w:w="540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FastAPI routers — one per task/concern</w:t>
            </w:r>
          </w:p>
        </w:tc>
      </w:tr>
      <w:tr>
        <w:tc>
          <w:tcPr>
            <w:tcW w:type="dxa" w:w="340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frontend/app/*/page.tsx</w:t>
            </w:r>
          </w:p>
        </w:tc>
        <w:tc>
          <w:tcPr>
            <w:tcW w:type="dxa" w:w="70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9</w:t>
            </w:r>
          </w:p>
        </w:tc>
        <w:tc>
          <w:tcPr>
            <w:tcW w:type="dxa" w:w="540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6-page Next.js dashboard, fetch-only, no hard-coded figures</w:t>
            </w:r>
          </w:p>
        </w:tc>
      </w:tr>
      <w:tr>
        <w:tc>
          <w:tcPr>
            <w:tcW w:type="dxa" w:w="340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Dockerfile, docker-compose.yml</w:t>
            </w:r>
          </w:p>
        </w:tc>
        <w:tc>
          <w:tcPr>
            <w:tcW w:type="dxa" w:w="70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9</w:t>
            </w:r>
          </w:p>
        </w:tc>
        <w:tc>
          <w:tcPr>
            <w:tcW w:type="dxa" w:w="540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Containerized deployment, additive to ./run.sh</w:t>
            </w:r>
          </w:p>
        </w:tc>
      </w:tr>
      <w:tr>
        <w:tc>
          <w:tcPr>
            <w:tcW w:type="dxa" w:w="340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scripts/evaluate_system.py</w:t>
            </w:r>
          </w:p>
        </w:tc>
        <w:tc>
          <w:tcPr>
            <w:tcW w:type="dxa" w:w="70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10</w:t>
            </w:r>
          </w:p>
        </w:tc>
        <w:tc>
          <w:tcPr>
            <w:tcW w:type="dxa" w:w="540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Testing, performance, domain validation, responsible AI</w:t>
            </w:r>
          </w:p>
        </w:tc>
      </w:tr>
    </w:tbl>
    <w:p>
      <w:pPr>
        <w:pStyle w:val="Heading2"/>
        <w:spacing w:after="60" w:before="140"/>
      </w:pPr>
      <w:r>
        <w:rPr>
          <w:rFonts w:ascii="Calibri" w:cs="Calibri" w:eastAsia="Calibri" w:hAnsi="Calibri"/>
          <w:b/>
          <w:bCs/>
          <w:color w:val="C41202"/>
          <w:sz w:val="21"/>
          <w:szCs w:val="21"/>
        </w:rPr>
        <w:t xml:space="preserve">9.3 Dashboard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750"/>
        <w:gridCol w:w="4750"/>
      </w:tblGrid>
      <w:tr>
        <w:tc>
          <w:tcPr>
            <w:tcW w:type="dxa" w:w="4750"/>
          </w:tcPr>
          <w:p>
            <w:r>
              <w:drawing>
                <wp:inline distT="0" distB="0" distL="0" distR="0">
                  <wp:extent cx="3048000" cy="1905000"/>
                  <wp:effectExtent t="0" r="0" b="0" l="0"/>
                  <wp:docPr id="2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48000" cy="1905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Overview — pipeline health + task ledger (10/10 built)</w:t>
            </w:r>
          </w:p>
        </w:tc>
        <w:tc>
          <w:tcPr>
            <w:tcW w:type="dxa" w:w="4750"/>
          </w:tcPr>
          <w:p>
            <w:r>
              <w:drawing>
                <wp:inline distT="0" distB="0" distL="0" distR="0">
                  <wp:extent cx="3048000" cy="1905000"/>
                  <wp:effectExtent t="0" r="0" b="0" l="0"/>
                  <wp:docPr id="3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48000" cy="1905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Models — Task 6 vs Task 7 on the identical holdout</w:t>
            </w:r>
          </w:p>
        </w:tc>
      </w:tr>
      <w:tr>
        <w:tc>
          <w:tcPr>
            <w:tcW w:type="dxa" w:w="4750"/>
          </w:tcPr>
          <w:p>
            <w:r>
              <w:drawing>
                <wp:inline distT="0" distB="0" distL="0" distR="0">
                  <wp:extent cx="3048000" cy="1905000"/>
                  <wp:effectExtent t="0" r="0" b="0" l="0"/>
                  <wp:docPr id="4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48000" cy="1905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Strategy Simulator — recommendation + ML/DL + stage cards</w:t>
            </w:r>
          </w:p>
        </w:tc>
        <w:tc>
          <w:tcPr>
            <w:tcW w:type="dxa" w:w="4750"/>
          </w:tcPr>
          <w:p>
            <w:r>
              <w:drawing>
                <wp:inline distT="0" distB="0" distL="0" distR="0">
                  <wp:extent cx="3048000" cy="1905000"/>
                  <wp:effectExtent t="0" r="0" b="0" l="0"/>
                  <wp:docPr id="5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48000" cy="1905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Downloadable strategy report (HTML format)</w:t>
            </w:r>
          </w:p>
        </w:tc>
      </w:tr>
    </w:tbl>
    <w:p>
      <w:pPr>
        <w:pStyle w:val="Heading2"/>
        <w:spacing w:after="60" w:before="140"/>
      </w:pPr>
      <w:r>
        <w:rPr>
          <w:rFonts w:ascii="Calibri" w:cs="Calibri" w:eastAsia="Calibri" w:hAnsi="Calibri"/>
          <w:b/>
          <w:bCs/>
          <w:color w:val="C41202"/>
          <w:sz w:val="21"/>
          <w:szCs w:val="21"/>
        </w:rPr>
        <w:t xml:space="preserve">9.4 Race Strategy Report Generator</w:t>
      </w:r>
    </w:p>
    <w:p>
      <w:pPr>
        <w:spacing w:after="40" w:before="0"/>
      </w:pPr>
      <w:r>
        <w:rPr>
          <w:rFonts w:ascii="Calibri" w:cs="Calibri" w:eastAsia="Calibri" w:hAnsi="Calibri"/>
          <w:sz w:val="20"/>
          <w:szCs w:val="20"/>
        </w:rPr>
        <w:t xml:space="preserve">Excerpt from a real generated report (POST /api/strategy/report), ALB at lap 30/57 on HARD tyres — ML and DL disagree on the pit call, and the report states this explicitly:</w:t>
      </w:r>
    </w:p>
    <w:p>
      <w:pPr>
        <w:spacing w:after="60" w:before="0"/>
      </w:pPr>
      <w:r>
        <w:rPr>
          <w:rFonts w:ascii="Calibri" w:cs="Calibri" w:eastAsia="Calibri" w:hAnsi="Calibri"/>
          <w:i/>
          <w:iCs/>
          <w:sz w:val="16"/>
          <w:szCs w:val="16"/>
        </w:rPr>
        <w:t xml:space="preserve">"PIT IN 9 LAPS — Confidence: low — ML and DL disagree: ML (random_forest) says PIT (p=0.588); DL says NO PIT (p=0.001 at threshold 0.1524). Falling back to ML, which had the better holdout precision on this dataset's one real pit stop."</w:t>
      </w:r>
    </w:p>
    <w:p>
      <w:pPr>
        <w:pStyle w:val="Heading2"/>
        <w:spacing w:after="60" w:before="140"/>
      </w:pPr>
      <w:r>
        <w:rPr>
          <w:rFonts w:ascii="Calibri" w:cs="Calibri" w:eastAsia="Calibri" w:hAnsi="Calibri"/>
          <w:b/>
          <w:bCs/>
          <w:color w:val="C41202"/>
          <w:sz w:val="21"/>
          <w:szCs w:val="21"/>
        </w:rPr>
        <w:t xml:space="preserve">9.5 Deployment</w:t>
      </w:r>
    </w:p>
    <w:p>
      <w:pPr>
        <w:spacing w:after="60" w:before="0"/>
      </w:pPr>
      <w:r>
        <w:rPr>
          <w:rFonts w:ascii="Calibri" w:cs="Calibri" w:eastAsia="Calibri" w:hAnsi="Calibri"/>
          <w:sz w:val="20"/>
          <w:szCs w:val="20"/>
        </w:rPr>
        <w:t xml:space="preserve">Local: ./run.sh builds any missing stage, starts both servers, warms the API and opens the dashboard. Containerized: docker compose build &amp;&amp; docker compose up — both images are code-only (artifacts/ and data/ bind-mounted, not baked in). Verified end to end in this session: both images build; the backend container reaches "healthy" via its own GET /api/health and serves the full per-model breakdown from inside the container network; the frontend (remapped to host port 3001, since 3000 is commonly held by an unrelated local dev server) comes up and server-renders real data fetched from the backend container.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5300"/>
      </w:tblGrid>
      <w:tr>
        <w:trPr>
          <w:tblHeader/>
        </w:trPr>
        <w:tc>
          <w:tcPr>
            <w:tcW w:type="dxa" w:w="4200"/>
            <w:shd w:fill="F2F0EA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>Endpoint</w:t>
            </w:r>
          </w:p>
        </w:tc>
        <w:tc>
          <w:tcPr>
            <w:tcW w:type="dxa" w:w="5300"/>
            <w:shd w:fill="F2F0EA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>Purpose</w:t>
            </w:r>
          </w:p>
        </w:tc>
      </w:tr>
      <w:tr>
        <w:tc>
          <w:tcPr>
            <w:tcW w:type="dxa" w:w="420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GET /api/health</w:t>
            </w:r>
          </w:p>
        </w:tc>
        <w:tc>
          <w:tcPr>
            <w:tcW w:type="dxa" w:w="530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status + per-model (ML/DL/XAI) availability breakdown</w:t>
            </w:r>
          </w:p>
        </w:tc>
      </w:tr>
      <w:tr>
        <w:tc>
          <w:tcPr>
            <w:tcW w:type="dxa" w:w="420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POST /api/strategy/predict</w:t>
            </w:r>
          </w:p>
        </w:tc>
        <w:tc>
          <w:tcPr>
            <w:tcW w:type="dxa" w:w="530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8-stage pipeline: validation → ... → recommendation</w:t>
            </w:r>
          </w:p>
        </w:tc>
      </w:tr>
      <w:tr>
        <w:tc>
          <w:tcPr>
            <w:tcW w:type="dxa" w:w="420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POST /api/strategy/report?format=html|markdown</w:t>
            </w:r>
          </w:p>
        </w:tc>
        <w:tc>
          <w:tcPr>
            <w:tcW w:type="dxa" w:w="530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downloadable strategy report</w:t>
            </w:r>
          </w:p>
        </w:tc>
      </w:tr>
      <w:tr>
        <w:tc>
          <w:tcPr>
            <w:tcW w:type="dxa" w:w="420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GET /api/tasks/evidence</w:t>
            </w:r>
          </w:p>
        </w:tc>
        <w:tc>
          <w:tcPr>
            <w:tcW w:type="dxa" w:w="530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task-level build ledger (1-10), scanned from disk</w:t>
            </w:r>
          </w:p>
        </w:tc>
      </w:tr>
    </w:tbl>
    <w:p>
      <w:pPr>
        <w:pStyle w:val="Heading1"/>
        <w:pBdr>
          <w:bottom w:val="single" w:color="C41202" w:sz="8" w:space="2"/>
        </w:pBdr>
        <w:spacing w:after="100" w:before="200"/>
      </w:pPr>
      <w:r>
        <w:rPr>
          <w:rFonts w:ascii="Calibri" w:cs="Calibri" w:eastAsia="Calibri" w:hAnsi="Calibri"/>
          <w:b/>
          <w:bCs/>
          <w:color w:val="15181C"/>
          <w:sz w:val="26"/>
          <w:szCs w:val="26"/>
        </w:rPr>
        <w:t xml:space="preserve">Task 10 — System Evaluation, Responsible AI &amp; Documentation</w:t>
      </w:r>
    </w:p>
    <w:p>
      <w:pPr>
        <w:pStyle w:val="Heading2"/>
        <w:spacing w:after="60" w:before="140"/>
      </w:pPr>
      <w:r>
        <w:rPr>
          <w:rFonts w:ascii="Calibri" w:cs="Calibri" w:eastAsia="Calibri" w:hAnsi="Calibri"/>
          <w:b/>
          <w:bCs/>
          <w:color w:val="C41202"/>
          <w:sz w:val="21"/>
          <w:szCs w:val="21"/>
        </w:rPr>
        <w:t xml:space="preserve">10.1 Testing report</w:t>
      </w:r>
    </w:p>
    <w:p>
      <w:pPr>
        <w:spacing w:after="60" w:before="0"/>
      </w:pPr>
      <w:r>
        <w:rPr>
          <w:rFonts w:ascii="Calibri" w:cs="Calibri" w:eastAsia="Calibri" w:hAnsi="Calibri"/>
          <w:sz w:val="20"/>
          <w:szCs w:val="20"/>
        </w:rPr>
        <w:t xml:space="preserve">pytest: 301 passed, 0 failed, 0 errors, 0 skipped (301 total), 64.5% statement coverage, 64.3s. Every scenario Task 10's brief calls out by name is a real, collected test (tests/test_api.py): end to end predict returns all stages: present; input validation rejects bad inputs: present; dl uses tuned threshold not 0.5: present; report endpoint returns non empty file: present; not available when ml model missing: present; not available when dl model missing: present.</w:t>
      </w:r>
    </w:p>
    <w:p>
      <w:pPr>
        <w:pStyle w:val="Heading2"/>
        <w:spacing w:after="60" w:before="140"/>
      </w:pPr>
      <w:r>
        <w:rPr>
          <w:rFonts w:ascii="Calibri" w:cs="Calibri" w:eastAsia="Calibri" w:hAnsi="Calibri"/>
          <w:b/>
          <w:bCs/>
          <w:color w:val="C41202"/>
          <w:sz w:val="21"/>
          <w:szCs w:val="21"/>
        </w:rPr>
        <w:t xml:space="preserve">10.2 Performance evaluation</w:t>
      </w:r>
    </w:p>
    <w:p>
      <w:pPr>
        <w:spacing w:after="60" w:before="0"/>
      </w:pPr>
      <w:r>
        <w:rPr>
          <w:rFonts w:ascii="Calibri" w:cs="Calibri" w:eastAsia="Calibri" w:hAnsi="Calibri"/>
          <w:sz w:val="20"/>
          <w:szCs w:val="20"/>
        </w:rPr>
        <w:t xml:space="preserve">Confirmed: Task 6 and Task 7 call the identical holdout function with the identical 0.2 fraction on frames built by the identical build_task_frame(load_and_validate(), target) call, so for a given target their test laps are the same laps by construction, not by coincidence.</w:t>
      </w:r>
    </w:p>
    <w:p>
      <w:pPr>
        <w:spacing w:after="30" w:before="0"/>
      </w:pPr>
      <w:r>
        <w:rPr>
          <w:rFonts w:ascii="Calibri" w:cs="Calibri" w:eastAsia="Calibri" w:hAnsi="Calibri"/>
          <w:b/>
          <w:bCs/>
          <w:sz w:val="16"/>
          <w:szCs w:val="16"/>
        </w:rPr>
        <w:t xml:space="preserve">Lap time (regression), chronological holdout — selected best per family: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600"/>
        <w:gridCol w:w="2150"/>
        <w:gridCol w:w="2150"/>
      </w:tblGrid>
      <w:tr>
        <w:trPr>
          <w:tblHeader/>
        </w:trPr>
        <w:tc>
          <w:tcPr>
            <w:tcW w:type="dxa" w:w="2600"/>
            <w:shd w:fill="F2F0EA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>Family</w:t>
            </w:r>
          </w:p>
        </w:tc>
        <w:tc>
          <w:tcPr>
            <w:tcW w:type="dxa" w:w="2600"/>
            <w:shd w:fill="F2F0EA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>Model</w:t>
            </w:r>
          </w:p>
        </w:tc>
        <w:tc>
          <w:tcPr>
            <w:tcW w:type="dxa" w:w="2150"/>
            <w:shd w:fill="F2F0EA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>Test MAE (s)</w:t>
            </w:r>
          </w:p>
        </w:tc>
        <w:tc>
          <w:tcPr>
            <w:tcW w:type="dxa" w:w="2150"/>
            <w:shd w:fill="F2F0EA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>Test R²</w:t>
            </w:r>
          </w:p>
        </w:tc>
      </w:tr>
      <w:tr>
        <w:tc>
          <w:tcPr>
            <w:tcW w:type="dxa" w:w="260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ML (Task 6)</w:t>
            </w:r>
          </w:p>
        </w:tc>
        <w:tc>
          <w:tcPr>
            <w:tcW w:type="dxa" w:w="260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svr</w:t>
            </w:r>
          </w:p>
        </w:tc>
        <w:tc>
          <w:tcPr>
            <w:tcW w:type="dxa" w:w="215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0.781</w:t>
            </w:r>
          </w:p>
        </w:tc>
        <w:tc>
          <w:tcPr>
            <w:tcW w:type="dxa" w:w="215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0.302</w:t>
            </w:r>
          </w:p>
        </w:tc>
      </w:tr>
      <w:tr>
        <w:tc>
          <w:tcPr>
            <w:tcW w:type="dxa" w:w="260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DL (Task 7)</w:t>
            </w:r>
          </w:p>
        </w:tc>
        <w:tc>
          <w:tcPr>
            <w:tcW w:type="dxa" w:w="260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dnn_mlp</w:t>
            </w:r>
          </w:p>
        </w:tc>
        <w:tc>
          <w:tcPr>
            <w:tcW w:type="dxa" w:w="215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0.565</w:t>
            </w:r>
          </w:p>
        </w:tc>
        <w:tc>
          <w:tcPr>
            <w:tcW w:type="dxa" w:w="215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0.456</w:t>
            </w:r>
          </w:p>
        </w:tc>
      </w:tr>
    </w:tbl>
    <w:p>
      <w:pPr>
        <w:spacing w:after="30" w:before="80"/>
      </w:pPr>
      <w:r>
        <w:rPr>
          <w:rFonts w:ascii="Calibri" w:cs="Calibri" w:eastAsia="Calibri" w:hAnsi="Calibri"/>
          <w:b/>
          <w:bCs/>
          <w:sz w:val="16"/>
          <w:szCs w:val="16"/>
        </w:rPr>
        <w:t xml:space="preserve">Pit decision (classification), same holdout — one real positive lap, so treat as illustrative: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600"/>
        <w:gridCol w:w="2150"/>
        <w:gridCol w:w="2150"/>
      </w:tblGrid>
      <w:tr>
        <w:trPr>
          <w:tblHeader/>
        </w:trPr>
        <w:tc>
          <w:tcPr>
            <w:tcW w:type="dxa" w:w="2600"/>
            <w:shd w:fill="F2F0EA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>Family</w:t>
            </w:r>
          </w:p>
        </w:tc>
        <w:tc>
          <w:tcPr>
            <w:tcW w:type="dxa" w:w="2600"/>
            <w:shd w:fill="F2F0EA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>Model</w:t>
            </w:r>
          </w:p>
        </w:tc>
        <w:tc>
          <w:tcPr>
            <w:tcW w:type="dxa" w:w="2150"/>
            <w:shd w:fill="F2F0EA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>Test PR-AUC</w:t>
            </w:r>
          </w:p>
        </w:tc>
        <w:tc>
          <w:tcPr>
            <w:tcW w:type="dxa" w:w="2150"/>
            <w:shd w:fill="F2F0EA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>Test F1</w:t>
            </w:r>
          </w:p>
        </w:tc>
      </w:tr>
      <w:tr>
        <w:tc>
          <w:tcPr>
            <w:tcW w:type="dxa" w:w="260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ML (Task 6)</w:t>
            </w:r>
          </w:p>
        </w:tc>
        <w:tc>
          <w:tcPr>
            <w:tcW w:type="dxa" w:w="260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random_forest</w:t>
            </w:r>
          </w:p>
        </w:tc>
        <w:tc>
          <w:tcPr>
            <w:tcW w:type="dxa" w:w="215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0.250</w:t>
            </w:r>
          </w:p>
        </w:tc>
        <w:tc>
          <w:tcPr>
            <w:tcW w:type="dxa" w:w="215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0.083</w:t>
            </w:r>
          </w:p>
        </w:tc>
      </w:tr>
      <w:tr>
        <w:tc>
          <w:tcPr>
            <w:tcW w:type="dxa" w:w="260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DL (Task 7)</w:t>
            </w:r>
          </w:p>
        </w:tc>
        <w:tc>
          <w:tcPr>
            <w:tcW w:type="dxa" w:w="260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dnn_mlp</w:t>
            </w:r>
          </w:p>
        </w:tc>
        <w:tc>
          <w:tcPr>
            <w:tcW w:type="dxa" w:w="215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0.024</w:t>
            </w:r>
          </w:p>
        </w:tc>
        <w:tc>
          <w:tcPr>
            <w:tcW w:type="dxa" w:w="215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0.000</w:t>
            </w:r>
          </w:p>
        </w:tc>
      </w:tr>
    </w:tbl>
    <w:p>
      <w:pPr>
        <w:spacing w:after="40" w:before="80"/>
      </w:pPr>
      <w:r>
        <w:rPr>
          <w:rFonts w:ascii="Calibri" w:cs="Calibri" w:eastAsia="Calibri" w:hAnsi="Calibri"/>
          <w:sz w:val="16"/>
          <w:szCs w:val="16"/>
        </w:rPr>
        <w:t xml:space="preserve">API latency, /api/strategy/predict (200 requests, explain=false): p50 100.73ms, p95 125.05ms, p99 189.7ms. With explain=true (50 requests): p50 257.77ms, p95 291.64ms. Model cold-load: ML 0.0173s, DL+classical bundle 0.0201s.</w:t>
      </w:r>
    </w:p>
    <w:p>
      <w:pPr>
        <w:pStyle w:val="Heading2"/>
        <w:spacing w:after="60" w:before="140"/>
      </w:pPr>
      <w:r>
        <w:rPr>
          <w:rFonts w:ascii="Calibri" w:cs="Calibri" w:eastAsia="Calibri" w:hAnsi="Calibri"/>
          <w:b/>
          <w:bCs/>
          <w:color w:val="C41202"/>
          <w:sz w:val="21"/>
          <w:szCs w:val="21"/>
        </w:rPr>
        <w:t xml:space="preserve">10.3 Domain validation — 2023 Bahrain backtest</w:t>
      </w:r>
    </w:p>
    <w:p>
      <w:pPr>
        <w:spacing w:after="40" w:before="0"/>
      </w:pPr>
      <w:r>
        <w:rPr>
          <w:rFonts w:ascii="Calibri" w:cs="Calibri" w:eastAsia="Calibri" w:hAnsi="Calibri"/>
          <w:sz w:val="20"/>
          <w:szCs w:val="20"/>
        </w:rPr>
        <w:t xml:space="preserve">Replayed 934 real laps through the live recommendation engine lap-by-lap (121 laps excluded — early-race TyreLife-before-LapNumber data quirk, see methodology). Against the real pit-stop labels: 34 hits, 5 misses, 237 false calls, 664 correct stay-outs — precision 0.125, recall 0.872. This measures agreement with what the real teams did, not proof of optimal strategy.</w:t>
      </w:r>
    </w:p>
    <w:p>
      <w:pPr>
        <w:spacing w:after="60" w:before="0"/>
      </w:pPr>
      <w:r>
        <w:rPr>
          <w:rFonts w:ascii="Calibri" w:cs="Calibri" w:eastAsia="Calibri" w:hAnsi="Calibri"/>
          <w:sz w:val="16"/>
          <w:szCs w:val="16"/>
        </w:rPr>
        <w:t xml:space="preserve">Expert-system rule-coverage fix: an earlier audit found 14 of 32 Task 2 rules could never fire through the live pipeline (missing inputs such as in_pit_window and safety_car_probability), which is exactly why that audit found 0 safety-car rule firings despite 31 real VSC laps in this race. After adding the 4 genuinely-derivable inputs to strategy_service._run_expert_system, R-SC-002/R-SC-003/R-PIT-004/R-STRAT-004 became reachable: this backtest now shows 8 safety-car rule firings out of 31 real VSC laps, with zero false positives (Every R-SC-* rule firing happened on a lap this script mapped to SC or VSC — no false positives against the real track-status history.). 10 rules remain documented limitations (rival-car telemetry, multi-circuit data, or a graining model this project doesn't have) — not worked around with invented numbers; see app/services/strategy_service.py and docs/sdd.md §7 for the full per-rule reasoning.</w:t>
      </w:r>
    </w:p>
    <w:p>
      <w:pPr>
        <w:pStyle w:val="Heading2"/>
        <w:spacing w:after="60" w:before="140"/>
      </w:pPr>
      <w:r>
        <w:rPr>
          <w:rFonts w:ascii="Calibri" w:cs="Calibri" w:eastAsia="Calibri" w:hAnsi="Calibri"/>
          <w:b/>
          <w:bCs/>
          <w:color w:val="C41202"/>
          <w:sz w:val="21"/>
          <w:szCs w:val="21"/>
        </w:rPr>
        <w:t xml:space="preserve">10.4 Explainability validation</w:t>
      </w:r>
    </w:p>
    <w:p>
      <w:pPr>
        <w:spacing w:after="60" w:before="0"/>
      </w:pPr>
      <w:r>
        <w:rPr>
          <w:rFonts w:ascii="Calibri" w:cs="Calibri" w:eastAsia="Calibri" w:hAnsi="Calibri"/>
          <w:sz w:val="16"/>
          <w:szCs w:val="16"/>
        </w:rPr>
        <w:t xml:space="preserve">SHAP top-feature bootstrap stability (200 resamples): lap time → field_median_lag1 (92% of resamples); pit decision → tracktemp_dev_x_tyrelife (100%). Faithfulness check: ablating the top feature moved the prediction more than ablating a random feature for both targets.</w:t>
      </w:r>
    </w:p>
    <w:p>
      <w:pPr>
        <w:pStyle w:val="Heading2"/>
        <w:spacing w:after="60" w:before="140"/>
      </w:pPr>
      <w:r>
        <w:rPr>
          <w:rFonts w:ascii="Calibri" w:cs="Calibri" w:eastAsia="Calibri" w:hAnsi="Calibri"/>
          <w:b/>
          <w:bCs/>
          <w:color w:val="C41202"/>
          <w:sz w:val="21"/>
          <w:szCs w:val="21"/>
        </w:rPr>
        <w:t xml:space="preserve">10.5 Responsible AI</w:t>
      </w:r>
    </w:p>
    <w:p>
      <w:pPr>
        <w:spacing w:after="60" w:before="0"/>
      </w:pPr>
      <w:r>
        <w:rPr>
          <w:rFonts w:ascii="Calibri" w:cs="Calibri" w:eastAsia="Calibri" w:hAnsi="Calibri"/>
          <w:sz w:val="16"/>
          <w:szCs w:val="16"/>
        </w:rPr>
        <w:t xml:space="preserve">Robustness — recommendation flip rate under small perturbations: track temp +5°C 0, -5°C 0.778; tyre age +2 laps 0, -2 laps 0.778. Fairness: per-driver/team/compound MAE and pit recall read from Task 8's own stratification (59 groups flagged small-sample, descriptive only). Transparency: 0 synthetic files found in data/raw (checked directly); single-race limitation stated throughout; the pit model's CV-vs-holdout gap is an evaluation-design artifact of one positive test lap, not underfitting. Human oversight: "Decision support for engineers, not an autonomous strategy system, and not for betting." (present: true).</w:t>
      </w:r>
    </w:p>
    <w:p>
      <w:pPr>
        <w:pStyle w:val="Heading2"/>
        <w:spacing w:after="60" w:before="140"/>
      </w:pPr>
      <w:r>
        <w:rPr>
          <w:rFonts w:ascii="Calibri" w:cs="Calibri" w:eastAsia="Calibri" w:hAnsi="Calibri"/>
          <w:b/>
          <w:bCs/>
          <w:color w:val="C41202"/>
          <w:sz w:val="21"/>
          <w:szCs w:val="21"/>
        </w:rPr>
        <w:t xml:space="preserve">10.6 Deployment readiness checklist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900"/>
      </w:tblGrid>
      <w:tr>
        <w:trPr>
          <w:tblHeader/>
        </w:trPr>
        <w:tc>
          <w:tcPr>
            <w:tcW w:type="dxa" w:w="3600"/>
            <w:shd w:fill="F2F0EA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>Check</w:t>
            </w:r>
          </w:p>
        </w:tc>
        <w:tc>
          <w:tcPr>
            <w:tcW w:type="dxa" w:w="5900"/>
            <w:shd w:fill="F2F0EA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>Result</w:t>
            </w:r>
          </w:p>
        </w:tc>
      </w:tr>
      <w:tr>
        <w:tc>
          <w:tcPr>
            <w:tcW w:type="dxa" w:w="360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Dockerfiles + compose present</w:t>
            </w:r>
          </w:p>
        </w:tc>
        <w:tc>
          <w:tcPr>
            <w:tcW w:type="dxa" w:w="590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yes</w:t>
            </w:r>
          </w:p>
        </w:tc>
      </w:tr>
      <w:tr>
        <w:tc>
          <w:tcPr>
            <w:tcW w:type="dxa" w:w="360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docker compose build/up</w:t>
            </w:r>
          </w:p>
        </w:tc>
        <w:tc>
          <w:tcPr>
            <w:tcW w:type="dxa" w:w="590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verified: both images build; backend healthy; frontend (host port 3001) serves real backend-fetched data</w:t>
            </w:r>
          </w:p>
        </w:tc>
      </w:tr>
      <w:tr>
        <w:tc>
          <w:tcPr>
            <w:tcW w:type="dxa" w:w="360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GET /api/health passes</w:t>
            </w:r>
          </w:p>
        </w:tc>
        <w:tc>
          <w:tcPr>
            <w:tcW w:type="dxa" w:w="590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true</w:t>
            </w:r>
          </w:p>
        </w:tc>
      </w:tr>
      <w:tr>
        <w:tc>
          <w:tcPr>
            <w:tcW w:type="dxa" w:w="360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pytest passes</w:t>
            </w:r>
          </w:p>
        </w:tc>
        <w:tc>
          <w:tcPr>
            <w:tcW w:type="dxa" w:w="590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true</w:t>
            </w:r>
          </w:p>
        </w:tc>
      </w:tr>
      <w:tr>
        <w:tc>
          <w:tcPr>
            <w:tcW w:type="dxa" w:w="360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No hard-coded metrics in frontend</w:t>
            </w:r>
          </w:p>
        </w:tc>
        <w:tc>
          <w:tcPr>
            <w:tcW w:type="dxa" w:w="590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4 regex matches, all reviewed and confirmed to be CSS/layout constants, not metrics</w:t>
            </w:r>
          </w:p>
        </w:tc>
      </w:tr>
      <w:tr>
        <w:tc>
          <w:tcPr>
            <w:tcW w:type="dxa" w:w="360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README reflects current status</w:t>
            </w:r>
          </w:p>
        </w:tc>
        <w:tc>
          <w:tcPr>
            <w:tcW w:type="dxa" w:w="590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995 rows: true; Task 9/10 sections present: true</w:t>
            </w:r>
          </w:p>
        </w:tc>
      </w:tr>
    </w:tbl>
    <w:p>
      <w:pPr>
        <w:pStyle w:val="Heading2"/>
        <w:spacing w:after="60" w:before="140"/>
      </w:pPr>
      <w:r>
        <w:rPr>
          <w:rFonts w:ascii="Calibri" w:cs="Calibri" w:eastAsia="Calibri" w:hAnsi="Calibri"/>
          <w:b/>
          <w:bCs/>
          <w:color w:val="C41202"/>
          <w:sz w:val="21"/>
          <w:szCs w:val="21"/>
        </w:rPr>
        <w:t xml:space="preserve">10.7 Limitations &amp; future enhancements</w:t>
      </w:r>
    </w:p>
    <w:p>
      <w:pPr>
        <w:spacing w:after="40" w:before="0"/>
      </w:pPr>
      <w:r>
        <w:rPr>
          <w:rFonts w:ascii="Calibri" w:cs="Calibri" w:eastAsia="Calibri" w:hAnsi="Calibri"/>
          <w:sz w:val="20"/>
          <w:szCs w:val="20"/>
        </w:rPr>
        <w:t xml:space="preserve">Single race (2023 Bahrain GP); one labelled pit stop in the holdout; 10 of 32 expert-system rules remain structurally unreachable via the live pipeline (rival-car telemetry, multi-circuit data, or a tyre-graining model this project doesn't have — see docs/sdd.md §7 for the full per-rule list); this document's exact PDF page count was not verified with LibreOffice in this environment (not installed, by instruction) — see the covering reply for a content-based estimate instead.</w:t>
      </w:r>
    </w:p>
    <w:p>
      <w:pPr>
        <w:spacing w:after="100" w:before="0"/>
      </w:pPr>
      <w:r>
        <w:rPr>
          <w:rFonts w:ascii="Calibri" w:cs="Calibri" w:eastAsia="Calibri" w:hAnsi="Calibri"/>
          <w:sz w:val="16"/>
          <w:szCs w:val="16"/>
        </w:rPr>
        <w:t xml:space="preserve">Future work: More races; Multi-session Task 4/5; QAOA / quantum optimisation vs. the A* baseline; Live FastF1 timing feed.</w:t>
      </w:r>
    </w:p>
    <w:p>
      <w:pPr>
        <w:pStyle w:val="Heading1"/>
        <w:pBdr>
          <w:bottom w:val="single" w:color="C41202" w:sz="8" w:space="2"/>
        </w:pBdr>
        <w:spacing w:after="100" w:before="200"/>
      </w:pPr>
      <w:r>
        <w:rPr>
          <w:rFonts w:ascii="Calibri" w:cs="Calibri" w:eastAsia="Calibri" w:hAnsi="Calibri"/>
          <w:b/>
          <w:bCs/>
          <w:color w:val="15181C"/>
          <w:sz w:val="26"/>
          <w:szCs w:val="26"/>
        </w:rPr>
        <w:t xml:space="preserve">Appendix — deliverables index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5300"/>
      </w:tblGrid>
      <w:tr>
        <w:trPr>
          <w:tblHeader/>
        </w:trPr>
        <w:tc>
          <w:tcPr>
            <w:tcW w:type="dxa" w:w="4200"/>
            <w:shd w:fill="F2F0EA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>Deliverable</w:t>
            </w:r>
          </w:p>
        </w:tc>
        <w:tc>
          <w:tcPr>
            <w:tcW w:type="dxa" w:w="5300"/>
            <w:shd w:fill="F2F0EA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>File</w:t>
            </w:r>
          </w:p>
        </w:tc>
      </w:tr>
      <w:tr>
        <w:tc>
          <w:tcPr>
            <w:tcW w:type="dxa" w:w="420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User Manual</w:t>
            </w:r>
          </w:p>
        </w:tc>
        <w:tc>
          <w:tcPr>
            <w:tcW w:type="dxa" w:w="530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docs/user_manual.md</w:t>
            </w:r>
          </w:p>
        </w:tc>
      </w:tr>
      <w:tr>
        <w:tc>
          <w:tcPr>
            <w:tcW w:type="dxa" w:w="420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Software Requirements Specification</w:t>
            </w:r>
          </w:p>
        </w:tc>
        <w:tc>
          <w:tcPr>
            <w:tcW w:type="dxa" w:w="530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docs/srs.md</w:t>
            </w:r>
          </w:p>
        </w:tc>
      </w:tr>
      <w:tr>
        <w:tc>
          <w:tcPr>
            <w:tcW w:type="dxa" w:w="420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Software Design Document</w:t>
            </w:r>
          </w:p>
        </w:tc>
        <w:tc>
          <w:tcPr>
            <w:tcW w:type="dxa" w:w="530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docs/sdd.md</w:t>
            </w:r>
          </w:p>
        </w:tc>
      </w:tr>
      <w:tr>
        <w:tc>
          <w:tcPr>
            <w:tcW w:type="dxa" w:w="420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Deployment Guide</w:t>
            </w:r>
          </w:p>
        </w:tc>
        <w:tc>
          <w:tcPr>
            <w:tcW w:type="dxa" w:w="530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docs/deployment_guide.md / docs/DEPLOYMENT.md</w:t>
            </w:r>
          </w:p>
        </w:tc>
      </w:tr>
      <w:tr>
        <w:tc>
          <w:tcPr>
            <w:tcW w:type="dxa" w:w="420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Testing Report</w:t>
            </w:r>
          </w:p>
        </w:tc>
        <w:tc>
          <w:tcPr>
            <w:tcW w:type="dxa" w:w="530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docs/TESTING_REPORT.md</w:t>
            </w:r>
          </w:p>
        </w:tc>
      </w:tr>
      <w:tr>
        <w:tc>
          <w:tcPr>
            <w:tcW w:type="dxa" w:w="420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Final Project Report</w:t>
            </w:r>
          </w:p>
        </w:tc>
        <w:tc>
          <w:tcPr>
            <w:tcW w:type="dxa" w:w="530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README.md, docs/task7_task8.md, docs/QML_README.md</w:t>
            </w:r>
          </w:p>
        </w:tc>
      </w:tr>
      <w:tr>
        <w:tc>
          <w:tcPr>
            <w:tcW w:type="dxa" w:w="420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Evaluation results (raw)</w:t>
            </w:r>
          </w:p>
        </w:tc>
        <w:tc>
          <w:tcPr>
            <w:tcW w:type="dxa" w:w="530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artifacts/evaluation/*.json</w:t>
            </w:r>
          </w:p>
        </w:tc>
      </w:tr>
      <w:tr>
        <w:tc>
          <w:tcPr>
            <w:tcW w:type="dxa" w:w="420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Deliverables checklist (Tasks 1-10)</w:t>
            </w:r>
          </w:p>
        </w:tc>
        <w:tc>
          <w:tcPr>
            <w:tcW w:type="dxa" w:w="530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docs/DELIVERABLES_CHECKLIST.md</w:t>
            </w:r>
          </w:p>
        </w:tc>
      </w:tr>
      <w:tr>
        <w:tc>
          <w:tcPr>
            <w:tcW w:type="dxa" w:w="420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This report</w:t>
            </w:r>
          </w:p>
        </w:tc>
        <w:tc>
          <w:tcPr>
            <w:tcW w:type="dxa" w:w="530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artifacts/reports/Task9_Task10_Report.docx</w:t>
            </w:r>
          </w:p>
        </w:tc>
      </w:tr>
    </w:tbl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0"/>
        <w:szCs w:val="20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image" Target="media/424c06ddeec15630c0e2108dd08f068f24148ba6.png"/><Relationship Id="rId8" Type="http://schemas.openxmlformats.org/officeDocument/2006/relationships/image" Target="media/754c3dffb2b206ac2846076007835d22cc592420.png"/><Relationship Id="rId9" Type="http://schemas.openxmlformats.org/officeDocument/2006/relationships/image" Target="media/eb04227f05ebc1560cf046f480b1783a49886c41.png"/><Relationship Id="rId10" Type="http://schemas.openxmlformats.org/officeDocument/2006/relationships/image" Target="media/fcefaa01f59d78c8daa02cf4cad8d8392e7d8b0e.png"/><Relationship Id="rId11" Type="http://schemas.openxmlformats.org/officeDocument/2006/relationships/image" Target="media/0668e38c26b0f86870cbe09121e6a1f83cca6e97.png"/><Relationship Id="rId12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2026-10-01T10:09:00.116Z</dcterms:created>
  <dcterms:modified xsi:type="dcterms:W3CDTF">2026-10-01T10:09:00.117Z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