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014AA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</w:p>
    <w:p w14:paraId="2425444C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:sz w:val="30"/>
          <w:szCs w:val="30"/>
          <w14:textFill>
            <w14:solidFill>
              <w14:schemeClr w14:val="accent1"/>
            </w14:solidFill>
          </w14:textFill>
        </w:rPr>
        <w:t>Engineering Playbook (Think)</w:t>
      </w:r>
    </w:p>
    <w:p w14:paraId="1DB29E54">
      <w:pPr>
        <w:spacing w:after="120" w:line="240" w:lineRule="auto"/>
        <w:jc w:val="center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How Design Decisions Were Made</w:t>
      </w:r>
    </w:p>
    <w:p w14:paraId="375EA19C">
      <w:pPr>
        <w:spacing w:after="120" w:line="240" w:lineRule="auto"/>
        <w:jc w:val="center"/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  <w:t>This playbook explains the engineering reas</w:t>
      </w:r>
      <w:r>
        <w:rPr>
          <w:rFonts w:ascii="Calibri" w:hAnsi="Calibri" w:cs="Calibri"/>
          <w:i/>
          <w:iCs/>
          <w:color w:val="156082" w:themeColor="accent1"/>
          <w14:textFill>
            <w14:solidFill>
              <w14:schemeClr w14:val="accent1"/>
            </w14:solidFill>
          </w14:textFill>
        </w:rPr>
        <w:t>oning and trade-offs behind design choices, highlighting how problems were analysed and solutions were selected.</w:t>
      </w:r>
    </w:p>
    <w:p w14:paraId="4593C978">
      <w:pPr>
        <w:spacing w:after="120" w:line="240" w:lineRule="auto"/>
        <w:jc w:val="both"/>
        <w:rPr>
          <w:rFonts w:ascii="Calibri" w:hAnsi="Calibri" w:cs="Calibri"/>
          <w:i/>
          <w:iCs/>
          <w:color w:val="156082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1FE286CE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Anjali Dogra</w:t>
      </w:r>
    </w:p>
    <w:p w14:paraId="505A57FD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Program: B.Tech Computer Science &amp; Engineering</w:t>
      </w:r>
    </w:p>
    <w:p w14:paraId="3B4E7227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University: BML Munjal University</w:t>
      </w:r>
    </w:p>
    <w:p w14:paraId="3DBED924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A0391E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F55AA5">
      <w:pPr>
        <w:spacing w:after="120" w:line="240" w:lineRule="auto"/>
        <w:jc w:val="both"/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color w:val="156082" w:themeColor="accent1"/>
          <w14:textFill>
            <w14:solidFill>
              <w14:schemeClr w14:val="accent1"/>
            </w14:solidFill>
          </w14:textFill>
        </w:rPr>
        <w:t xml:space="preserve">Project1: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Decline of Millets &amp; Rise of Rice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and </w:t>
      </w:r>
      <w:r>
        <w:rPr>
          <w:rFonts w:hint="default" w:ascii="Calibri" w:hAnsi="Calibri" w:eastAsia="SimSun" w:cs="Calibri"/>
          <w:b/>
          <w:bCs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Wheat in India</w:t>
      </w:r>
    </w:p>
    <w:p w14:paraId="61A36F4A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Problem Understanding</w:t>
      </w:r>
    </w:p>
    <w:p w14:paraId="27D8C7FC">
      <w:pPr>
        <w:spacing w:after="120" w:line="240" w:lineRule="auto"/>
        <w:jc w:val="both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Crop transitions are influenced by policy, irrigation access, rainfall variability, and economic incentives. A simple comparison of production values is insufficient to capture long-term structural shifts.</w:t>
      </w:r>
    </w:p>
    <w:p w14:paraId="26270634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Design Decision</w:t>
      </w:r>
    </w:p>
    <w:p w14:paraId="23CE4BBE">
      <w:pPr>
        <w:spacing w:after="120" w:line="240" w:lineRule="auto"/>
        <w:jc w:val="both"/>
        <w:rPr>
          <w:rFonts w:hint="default"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Chose time-series trend analysis and state-wise segmentation instead of single-year comparisons to understand gradual agricultural transitions over decades.</w:t>
      </w:r>
    </w:p>
    <w:p w14:paraId="4012219B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Engineering Trade-offs</w:t>
      </w:r>
    </w:p>
    <w:p w14:paraId="033E8E1C">
      <w:pPr>
        <w:pStyle w:val="1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>Prioritized long-term interpretability over complex predictive modeling</w:t>
      </w:r>
      <w:bookmarkStart w:id="0" w:name="_GoBack"/>
      <w:bookmarkEnd w:id="0"/>
      <w:r>
        <w:rPr>
          <w:rFonts w:hint="default" w:ascii="Calibri" w:hAnsi="Calibri" w:cs="Calibri"/>
          <w:sz w:val="22"/>
          <w:szCs w:val="22"/>
        </w:rPr>
        <w:t>.</w:t>
      </w:r>
    </w:p>
    <w:p w14:paraId="21AD7141">
      <w:pPr>
        <w:pStyle w:val="13"/>
        <w:keepNext w:val="0"/>
        <w:keepLines w:val="0"/>
        <w:widowControl/>
        <w:suppressLineNumbers w:val="0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t>Focused on clarity and explainability rather than high-complexity machine learning models.</w:t>
      </w:r>
    </w:p>
    <w:p w14:paraId="15DE965E">
      <w:pPr>
        <w:spacing w:after="120" w:line="240" w:lineRule="auto"/>
        <w:jc w:val="both"/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Validation Approach</w:t>
      </w:r>
    </w:p>
    <w:p w14:paraId="173B6021">
      <w:pPr>
        <w:spacing w:after="120" w:line="240" w:lineRule="auto"/>
        <w:jc w:val="both"/>
        <w:rPr>
          <w:rFonts w:hint="default" w:ascii="Calibri" w:hAnsi="Calibri" w:cs="Calibr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sz w:val="22"/>
          <w:szCs w:val="22"/>
        </w:rPr>
        <w:t>Validated trends by cross-comparing area, production, and yield metrics across multiple decades and verifying consistency in spatial patterns.</w:t>
      </w:r>
    </w:p>
    <w:p w14:paraId="3F082610">
      <w:pPr>
        <w:spacing w:after="120" w:line="240" w:lineRule="auto"/>
        <w:jc w:val="both"/>
        <w:rPr>
          <w:rFonts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284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B4"/>
    <w:rsid w:val="00161C7C"/>
    <w:rsid w:val="00520473"/>
    <w:rsid w:val="008A7293"/>
    <w:rsid w:val="00E04880"/>
    <w:rsid w:val="00E506B4"/>
    <w:rsid w:val="1C8C2EBB"/>
    <w:rsid w:val="5D03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249</Words>
  <Characters>1424</Characters>
  <Lines>11</Lines>
  <Paragraphs>3</Paragraphs>
  <TotalTime>17</TotalTime>
  <ScaleCrop>false</ScaleCrop>
  <LinksUpToDate>false</LinksUpToDate>
  <CharactersWithSpaces>1670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2026-01-20T05:52:00Z</dcterms:created>
  <dc:creator>Dr Kiran Khatter</dc:creator>
  <cp:lastModifiedBy>Anjali Dogra</cp:lastModifiedBy>
  <cp:lastPrinted>2026-01-20T05:39:00Z</cp:lastPrinted>
  <dcterms:modified xsi:type="dcterms:W3CDTF">2026-02-22T16:29:28Z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e1281e95-073c-409e-a71a-59b7a7f39fef</vt:lpwstr>
  </property>
  <property fmtid="{D5CDD505-2E9C-101B-9397-08002B2CF9AE}" pid="3" name="KSOProductBuildVer">
    <vt:lpwstr>1033-12.2.0.23196</vt:lpwstr>
  </property>
  <property fmtid="{D5CDD505-2E9C-101B-9397-08002B2CF9AE}" pid="4" name="ICV">
    <vt:lpwstr>B5243BAA33D34DCAAAB15D8E026DA39A_12</vt:lpwstr>
  </property>
</Properties>
</file>