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1F3864"/>
          <w:sz w:val="52"/>
          <w:szCs w:val="52"/>
        </w:rPr>
        <w:t xml:space="preserve">HARBOR &amp; GRAPHQL</w:t>
      </w:r>
    </w:p>
    <w:p>
      <w:pPr>
        <w:spacing w:after="100" w:before="80"/>
        <w:jc w:val="center"/>
      </w:pPr>
      <w:r>
        <w:rPr>
          <w:b/>
          <w:bCs/>
          <w:color w:val="0F6B72"/>
          <w:sz w:val="28"/>
          <w:szCs w:val="28"/>
        </w:rPr>
        <w:t xml:space="preserve">Complete Team Reference — What It Is, Why We Use It, and How We Used It</w:t>
      </w:r>
    </w:p>
    <w:p>
      <w:pPr>
        <w:spacing w:after="400"/>
        <w:jc w:val="center"/>
      </w:pPr>
      <w:r>
        <w:rPr>
          <w:i/>
          <w:iCs/>
          <w:color w:val="595959"/>
          <w:sz w:val="22"/>
          <w:szCs w:val="22"/>
        </w:rPr>
        <w:t xml:space="preserve">Instock Monitoring on Flipkart Minutes — Meridian Replenishment Control Tower</w:t>
      </w:r>
    </w:p>
    <w:tbl>
      <w:tblPr>
        <w:tblW w:type="pct" w:w="100%"/>
        <w:tblBorders>
          <w:top w:val="single" w:color="1F3864" w:sz="4"/>
          <w:left w:val="single" w:color="1F3864" w:sz="24"/>
          <w:bottom w:val="single" w:color="1F3864" w:sz="4"/>
          <w:right w:val="single" w:color="1F3864" w:sz="4"/>
          <w:insideH w:val="single" w:color="auto" w:sz="4"/>
          <w:insideV w:val="single" w:color="auto" w:sz="4"/>
        </w:tblBorders>
      </w:tblPr>
      <w:tblGrid>
        <w:gridCol w:w="100"/>
      </w:tblGrid>
      <w:tr>
        <w:tc>
          <w:tcPr>
            <w:shd w:fill="EAEFF7" w:val="clear"/>
            <w:tcMar>
              <w:top w:type="dxa" w:w="120"/>
              <w:left w:type="dxa" w:w="180"/>
              <w:bottom w:type="dxa" w:w="120"/>
              <w:right w:type="dxa" w:w="180"/>
            </w:tcMar>
          </w:tcPr>
          <w:p>
            <w:pPr>
              <w:spacing w:after="60"/>
            </w:pPr>
            <w:r>
              <w:rPr>
                <w:b/>
                <w:bCs/>
                <w:color w:val="1F3864"/>
              </w:rPr>
              <w:t xml:space="preserve">Purpose of this document</w:t>
            </w:r>
          </w:p>
          <w:p>
            <w:pPr>
              <w:spacing w:after="40"/>
            </w:pPr>
            <w:r>
              <w:t xml:space="preserve">This is the full, consolidated reference on Harbor and GraphQL as used for Instock Monitoring — written so this team and any other team can pick it up and understand: what Harbor is, why GraphQL was mandated at all, what its benefits actually are, every building block explained through real code we wrote, exactly what we built (file by file, commit by commit), every bug we hit and fixed, every access/process wall we hit, and exactly what still needs escalation and to whom.</w:t>
            </w:r>
          </w:p>
          <w:p>
            <w:pPr>
              <w:spacing w:after="40"/>
            </w:pPr>
            <w:r>
              <w:t xml:space="preserve">Nothing has been trimmed for brevity. This supersedes the earlier briefing — it folds in the full commit-by-commit build log, the real GitHub PR, the deployment-reality explanation, and the exact asks that still need a mentor/platform-team decision.</w:t>
            </w:r>
          </w:p>
          <w:p>
            <w:pPr>
              <w:spacing w:after="40"/>
            </w:pPr>
            <w:r>
              <w:t xml:space="preserve">Scope note: this document is Harbor/GraphQL only. A separate, unrelated workstream this same week (Hive → Elasticsearch data verification via Azkaban/J6) is intentionally excluded — it is a different pipeline with no bearing on Harbor.</w:t>
            </w:r>
          </w:p>
        </w:tc>
      </w:tr>
    </w:tbl>
    <w:p>
      <w:r>
        <w:br w:type="page"/>
      </w:r>
    </w:p>
    <w:p>
      <w:pPr>
        <w:pStyle w:val="Heading1"/>
        <w:pBdr>
          <w:bottom w:val="single" w:color="0F6B72" w:sz="8" w:space="4"/>
        </w:pBdr>
        <w:spacing w:after="200" w:before="400"/>
      </w:pPr>
      <w:r>
        <w:rPr>
          <w:b/>
          <w:bCs/>
          <w:color w:val="1F3864"/>
        </w:rPr>
        <w:t xml:space="preserve">Contents</w:t>
      </w:r>
    </w:p>
    <w:p>
      <w:pPr>
        <w:pStyle w:val="ListParagraph"/>
        <w:numPr>
          <w:ilvl w:val="0"/>
          <w:numId w:val="2"/>
        </w:numPr>
        <w:spacing w:after="80"/>
      </w:pPr>
      <w:r>
        <w:t xml:space="preserve">1. Executive Summary</w:t>
      </w:r>
    </w:p>
    <w:p>
      <w:pPr>
        <w:pStyle w:val="ListParagraph"/>
        <w:numPr>
          <w:ilvl w:val="0"/>
          <w:numId w:val="2"/>
        </w:numPr>
        <w:spacing w:after="80"/>
      </w:pPr>
      <w:r>
        <w:t xml:space="preserve">2. What Harbor Actually Is</w:t>
      </w:r>
    </w:p>
    <w:p>
      <w:pPr>
        <w:pStyle w:val="ListParagraph"/>
        <w:numPr>
          <w:ilvl w:val="0"/>
          <w:numId w:val="2"/>
        </w:numPr>
        <w:spacing w:after="80"/>
      </w:pPr>
      <w:r>
        <w:t xml:space="preserve">3. Why GraphQL / Why Harbor — the Honest Case</w:t>
      </w:r>
    </w:p>
    <w:p>
      <w:pPr>
        <w:pStyle w:val="ListParagraph"/>
        <w:numPr>
          <w:ilvl w:val="0"/>
          <w:numId w:val="2"/>
        </w:numPr>
        <w:spacing w:after="80"/>
      </w:pPr>
      <w:r>
        <w:t xml:space="preserve">4. The Core Building Blocks (SDL, Vajram, Aggregator, Krystal)</w:t>
      </w:r>
    </w:p>
    <w:p>
      <w:pPr>
        <w:pStyle w:val="ListParagraph"/>
        <w:numPr>
          <w:ilvl w:val="0"/>
          <w:numId w:val="2"/>
        </w:numPr>
        <w:spacing w:after="80"/>
      </w:pPr>
      <w:r>
        <w:t xml:space="preserve">5. How a Request Actually Flows, End to End</w:t>
      </w:r>
    </w:p>
    <w:p>
      <w:pPr>
        <w:pStyle w:val="ListParagraph"/>
        <w:numPr>
          <w:ilvl w:val="0"/>
          <w:numId w:val="2"/>
        </w:numPr>
        <w:spacing w:after="80"/>
      </w:pPr>
      <w:r>
        <w:t xml:space="preserve">6. What Each GraphQL Field Actually Returns (Plain-English)</w:t>
      </w:r>
    </w:p>
    <w:p>
      <w:pPr>
        <w:pStyle w:val="ListParagraph"/>
        <w:numPr>
          <w:ilvl w:val="0"/>
          <w:numId w:val="2"/>
        </w:numPr>
        <w:spacing w:after="80"/>
      </w:pPr>
      <w:r>
        <w:t xml:space="preserve">7. What Was Built — File by File, Commit by Commit</w:t>
      </w:r>
    </w:p>
    <w:p>
      <w:pPr>
        <w:pStyle w:val="ListParagraph"/>
        <w:numPr>
          <w:ilvl w:val="0"/>
          <w:numId w:val="2"/>
        </w:numPr>
        <w:spacing w:after="80"/>
      </w:pPr>
      <w:r>
        <w:t xml:space="preserve">8. What Is Still Not Built, and Why</w:t>
      </w:r>
    </w:p>
    <w:p>
      <w:pPr>
        <w:pStyle w:val="ListParagraph"/>
        <w:numPr>
          <w:ilvl w:val="0"/>
          <w:numId w:val="2"/>
        </w:numPr>
        <w:spacing w:after="80"/>
      </w:pPr>
      <w:r>
        <w:t xml:space="preserve">9. Real Bugs Found and Fixed</w:t>
      </w:r>
    </w:p>
    <w:p>
      <w:pPr>
        <w:pStyle w:val="ListParagraph"/>
        <w:numPr>
          <w:ilvl w:val="0"/>
          <w:numId w:val="2"/>
        </w:numPr>
        <w:spacing w:after="80"/>
      </w:pPr>
      <w:r>
        <w:t xml:space="preserve">10. Key Technical Mechanisms Verified Against Real Source Code</w:t>
      </w:r>
    </w:p>
    <w:p>
      <w:pPr>
        <w:pStyle w:val="ListParagraph"/>
        <w:numPr>
          <w:ilvl w:val="0"/>
          <w:numId w:val="2"/>
        </w:numPr>
        <w:spacing w:after="80"/>
      </w:pPr>
      <w:r>
        <w:t xml:space="preserve">11. Contract / Schema Corrections from UX Review</w:t>
      </w:r>
    </w:p>
    <w:p>
      <w:pPr>
        <w:pStyle w:val="ListParagraph"/>
        <w:numPr>
          <w:ilvl w:val="0"/>
          <w:numId w:val="2"/>
        </w:numPr>
        <w:spacing w:after="80"/>
      </w:pPr>
      <w:r>
        <w:t xml:space="preserve">12. Access, Repo-Boundary, and Process Issues</w:t>
      </w:r>
    </w:p>
    <w:p>
      <w:pPr>
        <w:pStyle w:val="ListParagraph"/>
        <w:numPr>
          <w:ilvl w:val="0"/>
          <w:numId w:val="2"/>
        </w:numPr>
        <w:spacing w:after="80"/>
      </w:pPr>
      <w:r>
        <w:t xml:space="preserve">13. Mistakes Made This Session (Stated Plainly)</w:t>
      </w:r>
    </w:p>
    <w:p>
      <w:pPr>
        <w:pStyle w:val="ListParagraph"/>
        <w:numPr>
          <w:ilvl w:val="0"/>
          <w:numId w:val="2"/>
        </w:numPr>
        <w:spacing w:after="80"/>
      </w:pPr>
      <w:r>
        <w:t xml:space="preserve">14. The Real Pull Request — What's On It</w:t>
      </w:r>
    </w:p>
    <w:p>
      <w:pPr>
        <w:pStyle w:val="ListParagraph"/>
        <w:numPr>
          <w:ilvl w:val="0"/>
          <w:numId w:val="2"/>
        </w:numPr>
        <w:spacing w:after="80"/>
      </w:pPr>
      <w:r>
        <w:t xml:space="preserve">15. Deployment Reality — What Happens After the PR Is Merged</w:t>
      </w:r>
    </w:p>
    <w:p>
      <w:pPr>
        <w:pStyle w:val="ListParagraph"/>
        <w:numPr>
          <w:ilvl w:val="0"/>
          <w:numId w:val="2"/>
        </w:numPr>
        <w:spacing w:after="80"/>
      </w:pPr>
      <w:r>
        <w:t xml:space="preserve">16. What Still Needs Escalation — Exact Asks, and Who to Ask</w:t>
      </w:r>
    </w:p>
    <w:p>
      <w:pPr>
        <w:pStyle w:val="ListParagraph"/>
        <w:numPr>
          <w:ilvl w:val="0"/>
          <w:numId w:val="2"/>
        </w:numPr>
        <w:spacing w:after="80"/>
      </w:pPr>
      <w:r>
        <w:t xml:space="preserve">17. How the Team Uses Harbor Going Forward — the Real Steps</w:t>
      </w:r>
    </w:p>
    <w:p>
      <w:pPr>
        <w:pStyle w:val="ListParagraph"/>
        <w:numPr>
          <w:ilvl w:val="0"/>
          <w:numId w:val="2"/>
        </w:numPr>
        <w:spacing w:after="80"/>
      </w:pPr>
      <w:r>
        <w:t xml:space="preserve">18. Current State Snapshot</w:t>
      </w:r>
    </w:p>
    <w:p>
      <w:pPr>
        <w:pStyle w:val="ListParagraph"/>
        <w:numPr>
          <w:ilvl w:val="0"/>
          <w:numId w:val="2"/>
        </w:numPr>
        <w:spacing w:after="80"/>
      </w:pPr>
      <w:r>
        <w:t xml:space="preserve">19. Business Context — Where This Fits in the Roadmap</w:t>
      </w:r>
    </w:p>
    <w:p>
      <w:pPr>
        <w:pStyle w:val="ListParagraph"/>
        <w:numPr>
          <w:ilvl w:val="0"/>
          <w:numId w:val="2"/>
        </w:numPr>
        <w:spacing w:after="80"/>
      </w:pPr>
      <w:r>
        <w:t xml:space="preserve">20. Anticipated Team Questions &amp; Honest Answers</w:t>
      </w:r>
    </w:p>
    <w:p>
      <w:pPr>
        <w:pStyle w:val="ListParagraph"/>
        <w:numPr>
          <w:ilvl w:val="0"/>
          <w:numId w:val="2"/>
        </w:numPr>
        <w:spacing w:after="80"/>
      </w:pPr>
      <w:r>
        <w:t xml:space="preserve">21. Open Items Needing a Decision From You</w:t>
      </w:r>
    </w:p>
    <w:p>
      <w:r>
        <w:br w:type="page"/>
      </w:r>
    </w:p>
    <w:p>
      <w:pPr>
        <w:pStyle w:val="Heading1"/>
        <w:pBdr>
          <w:bottom w:val="single" w:color="0F6B72" w:sz="8" w:space="4"/>
        </w:pBdr>
        <w:spacing w:after="200" w:before="400"/>
      </w:pPr>
      <w:r>
        <w:rPr>
          <w:b/>
          <w:bCs/>
          <w:color w:val="1F3864"/>
        </w:rPr>
        <w:t xml:space="preserve">1. Executive Summary</w:t>
      </w:r>
    </w:p>
    <w:p>
      <w:pPr>
        <w:spacing w:after="120"/>
      </w:pPr>
      <w:r>
        <w:t xml:space="preserve">Meridian is the Replenishment Control Tower for Flipkart Minutes — a Scala/Spark + MySQL backend exposing REST APIs. Its React frontend (meridian-ui) does not call those REST APIs directly. By an architecture decision already locked by the UI team (Vaibhav's team), the frontend calls Harbor — Flipkart's single shared GraphQL-only API orchestrator, repo name fk-mart-api-orchestrator — which in turn calls Meridian's REST endpoints on the frontend's behalf.</w:t>
      </w:r>
    </w:p>
    <w:p>
      <w:pPr>
        <w:spacing w:after="120"/>
      </w:pPr>
      <w:r>
        <w:t xml:space="preserve">This work built the GraphQL layer for “Instock Monitoring” entirely inside Harbor's own repository, because although the GraphQL schema (SDL) and the Vajram code are owned and authored by the Meridian backend team, they physically live inside Harbor's codebase — confirmed directly from the UI team's own design docs, which state plainly: “SDL types owned by the meridian backend team in fk-mart-api-orchestrator repo.”</w:t>
      </w:r>
    </w:p>
    <w:tbl>
      <w:tblPr>
        <w:tblW w:type="pct" w:w="100%"/>
        <w:tblBorders>
          <w:top w:val="single" w:color="1E7A34" w:sz="4"/>
          <w:left w:val="single" w:color="1E7A34" w:sz="24"/>
          <w:bottom w:val="single" w:color="1E7A34" w:sz="4"/>
          <w:right w:val="single" w:color="1E7A34" w:sz="4"/>
          <w:insideH w:val="single" w:color="auto" w:sz="4"/>
          <w:insideV w:val="single" w:color="auto" w:sz="4"/>
        </w:tblBorders>
      </w:tblPr>
      <w:tblGrid>
        <w:gridCol w:w="100"/>
      </w:tblGrid>
      <w:tr>
        <w:tc>
          <w:tcPr>
            <w:shd w:fill="EAF6EC" w:val="clear"/>
            <w:tcMar>
              <w:top w:type="dxa" w:w="120"/>
              <w:left w:type="dxa" w:w="180"/>
              <w:bottom w:type="dxa" w:w="120"/>
              <w:right w:type="dxa" w:w="180"/>
            </w:tcMar>
          </w:tcPr>
          <w:p>
            <w:pPr>
              <w:spacing w:after="60"/>
            </w:pPr>
            <w:r>
              <w:rPr>
                <w:b/>
                <w:bCs/>
                <w:color w:val="1E7A34"/>
              </w:rPr>
              <w:t xml:space="preserve">Bottom line</w:t>
            </w:r>
          </w:p>
          <w:p>
            <w:pPr>
              <w:spacing w:after="40"/>
            </w:pPr>
            <w:r>
              <w:t xml:space="preserve">5 of 13 planned GraphQL operations for Instock Monitoring are fully built end-to-end (instockKPIs, worstFsns, exportJob, instockCities, citySubPivots) across 7 real commits, and a real pull request is open on the actual Harbor repo.</w:t>
            </w:r>
          </w:p>
          <w:p>
            <w:pPr>
              <w:spacing w:after="40"/>
            </w:pPr>
            <w:r>
              <w:t xml:space="preserve">6 more are mechanical (no open design questions) and just need to be written the same way; 2 are genuinely complex and flagged with the exact open question each needs answered.</w:t>
            </w:r>
          </w:p>
          <w:p>
            <w:pPr>
              <w:spacing w:after="40"/>
            </w:pPr>
            <w:r>
              <w:t xml:space="preserve">The PR is open but not merged, and merging alone will not make it live — there is a separate deploy pipeline, canary stage, and two infrastructure gaps (config values, an auth ID) that need platform-team/mentor involvement before real data will flow. See Sections 14–16.</w:t>
            </w:r>
          </w:p>
        </w:tc>
      </w:tr>
    </w:tbl>
    <w:p>
      <w:pPr>
        <w:pStyle w:val="Heading1"/>
        <w:pBdr>
          <w:bottom w:val="single" w:color="0F6B72" w:sz="8" w:space="4"/>
        </w:pBdr>
        <w:spacing w:after="200" w:before="400"/>
      </w:pPr>
      <w:r>
        <w:rPr>
          <w:b/>
          <w:bCs/>
          <w:color w:val="1F3864"/>
        </w:rPr>
        <w:t xml:space="preserve">2. What Harbor Actually Is</w:t>
      </w:r>
    </w:p>
    <w:p>
      <w:pPr>
        <w:spacing w:after="120"/>
      </w:pPr>
      <w:r>
        <w:t xml:space="preserve">Harbor (repo name: fk-mart-api-orchestrator) is Flipkart's single shared GraphQL server that sits between every frontend application and the many backend microservices those frontends need data from. Instead of each frontend team hand-rolling calls to N different backend REST APIs, every frontend calls Harbor once over GraphQL, and Harbor fans out to whichever backend services are actually needed to answer that query.</w:t>
      </w:r>
    </w:p>
    <w:p>
      <w:pPr>
        <w:spacing w:after="120"/>
      </w:pPr>
      <w:r>
        <w:t xml:space="preserve">From the platform's own HLD, stated verbatim: “Flipkart's GraphQL-only API orchestrator. All data is exposed as GraphQL operations; there is no REST surface.” Concretely, for this project: instead of </w:t>
      </w:r>
      <w:r>
        <w:rPr>
          <w:rFonts w:ascii="Consolas" w:cs="Consolas" w:eastAsia="Consolas" w:hAnsi="Consolas"/>
          <w:color w:val="8A2BE2"/>
          <w:sz w:val="20"/>
          <w:szCs w:val="20"/>
        </w:rPr>
        <w:t xml:space="preserve">meridian-ui</w:t>
      </w:r>
      <w:r>
        <w:t xml:space="preserve"> (the React app) calling Meridian's REST endpoints directly, it calls Harbor, and Harbor calls Meridian's REST endpoints on its behalf.</w:t>
      </w:r>
    </w:p>
    <w:tbl>
      <w:tblPr>
        <w:tblW w:type="pct" w:w="100%"/>
        <w:tblBorders>
          <w:top w:val="single" w:color="B00020" w:sz="4"/>
          <w:left w:val="single" w:color="B00020" w:sz="24"/>
          <w:bottom w:val="single" w:color="B00020" w:sz="4"/>
          <w:right w:val="single" w:color="B00020" w:sz="4"/>
          <w:insideH w:val="single" w:color="auto" w:sz="4"/>
          <w:insideV w:val="single" w:color="auto" w:sz="4"/>
        </w:tblBorders>
      </w:tblPr>
      <w:tblGrid>
        <w:gridCol w:w="100"/>
      </w:tblGrid>
      <w:tr>
        <w:tc>
          <w:tcPr>
            <w:shd w:fill="FBEAEA" w:val="clear"/>
            <w:tcMar>
              <w:top w:type="dxa" w:w="120"/>
              <w:left w:type="dxa" w:w="180"/>
              <w:bottom w:type="dxa" w:w="120"/>
              <w:right w:type="dxa" w:w="180"/>
            </w:tcMar>
          </w:tcPr>
          <w:p>
            <w:pPr>
              <w:spacing w:after="60"/>
            </w:pPr>
            <w:r>
              <w:rPr>
                <w:b/>
                <w:bCs/>
                <w:color w:val="B00020"/>
              </w:rPr>
              <w:t xml:space="preserve">A correction worth stating plainly to the team</w:t>
            </w:r>
          </w:p>
          <w:p>
            <w:pPr>
              <w:spacing w:after="40"/>
            </w:pPr>
            <w:r>
              <w:t xml:space="preserve">An early explanation in this workstream wrongly described Harbor as a generic, unnamed API gateway, based on a general web search that surfaced VMware's unrelated “Harbor” container registry product — a completely different product that happens to share the name. The platform's own HLD was then read directly, confirming the real Flipkart Harbor is fk-mart-api-orchestrator, a GraphQL orchestrator with no relation to the container-registry product. Worth pre-empting this exact mix-up if it comes up, since a plain web search on “Harbor” will surface the wrong product first.</w:t>
            </w:r>
          </w:p>
        </w:tc>
      </w:tr>
    </w:tbl>
    <w:p>
      <w:pPr>
        <w:pStyle w:val="Heading3"/>
        <w:spacing w:after="80" w:before="200"/>
      </w:pPr>
      <w:r>
        <w:rPr>
          <w:b/>
          <w:bCs/>
          <w:color w:val="333333"/>
        </w:rPr>
        <w:t xml:space="preserve">The three repositories involved, and how little they share</w:t>
      </w:r>
    </w:p>
    <w:p>
      <w:pPr>
        <w:pStyle w:val="ListParagraph"/>
        <w:numPr>
          <w:ilvl w:val="0"/>
          <w:numId w:val="2"/>
        </w:numPr>
        <w:spacing w:after="80"/>
      </w:pPr>
      <w:r>
        <w:rPr>
          <w:b/>
          <w:bCs/>
        </w:rPr>
        <w:t xml:space="preserve">meridian-ui</w:t>
      </w:r>
      <w:r>
        <w:t xml:space="preserve"> — the React frontend, owned by Vaibhav's team. Uses Apollo Client, hardcoded to call exactly one URL (a config value named </w:t>
      </w:r>
      <w:r>
        <w:rPr>
          <w:rFonts w:ascii="Consolas" w:cs="Consolas" w:eastAsia="Consolas" w:hAnsi="Consolas"/>
          <w:color w:val="8A2BE2"/>
          <w:sz w:val="20"/>
          <w:szCs w:val="20"/>
        </w:rPr>
        <w:t xml:space="preserve">meridianBackendUrl</w:t>
      </w:r>
      <w:r>
        <w:t xml:space="preserve">) — which points at Harbor, not at Meridian.</w:t>
      </w:r>
    </w:p>
    <w:p>
      <w:pPr>
        <w:pStyle w:val="ListParagraph"/>
        <w:numPr>
          <w:ilvl w:val="0"/>
          <w:numId w:val="2"/>
        </w:numPr>
        <w:spacing w:after="80"/>
      </w:pPr>
      <w:r>
        <w:rPr>
          <w:b/>
          <w:bCs/>
        </w:rPr>
        <w:t xml:space="preserve">fk-mart-api-orchestrator</w:t>
      </w:r>
      <w:r>
        <w:t xml:space="preserve"> (“Harbor”) — the shared GraphQL orchestrator, used by multiple teams. The Meridian team's GraphQL schema and Vajram code live inside this repo, in our own team-owned files, but the repo itself is shared and multi-tenant.</w:t>
      </w:r>
    </w:p>
    <w:p>
      <w:pPr>
        <w:pStyle w:val="ListParagraph"/>
        <w:numPr>
          <w:ilvl w:val="0"/>
          <w:numId w:val="2"/>
        </w:numPr>
        <w:spacing w:after="80"/>
      </w:pPr>
      <w:r>
        <w:rPr>
          <w:b/>
          <w:bCs/>
        </w:rPr>
        <w:t xml:space="preserve">meridian</w:t>
      </w:r>
      <w:r>
        <w:t xml:space="preserve"> — the actual backend service (Scala/Spark + MySQL) exposing the REST APIs. This is where the real business logic and data live, and it does not know GraphQL exists at all — it just serves REST, unchanged.</w:t>
      </w:r>
    </w:p>
    <w:tbl>
      <w:tblPr>
        <w:tblW w:type="pct" w:w="100%"/>
        <w:tblBorders>
          <w:top w:val="single" w:color="0F6B72" w:sz="4"/>
          <w:left w:val="single" w:color="0F6B72" w:sz="24"/>
          <w:bottom w:val="single" w:color="0F6B72" w:sz="4"/>
          <w:right w:val="single" w:color="0F6B72" w:sz="4"/>
          <w:insideH w:val="single" w:color="auto" w:sz="4"/>
          <w:insideV w:val="single" w:color="auto" w:sz="4"/>
        </w:tblBorders>
      </w:tblPr>
      <w:tblGrid>
        <w:gridCol w:w="100"/>
      </w:tblGrid>
      <w:tr>
        <w:tc>
          <w:tcPr>
            <w:shd w:fill="EAF1F1" w:val="clear"/>
            <w:tcMar>
              <w:top w:type="dxa" w:w="120"/>
              <w:left w:type="dxa" w:w="180"/>
              <w:bottom w:type="dxa" w:w="120"/>
              <w:right w:type="dxa" w:w="180"/>
            </w:tcMar>
          </w:tcPr>
          <w:p>
            <w:pPr>
              <w:spacing w:after="60"/>
            </w:pPr>
            <w:r>
              <w:rPr>
                <w:b/>
                <w:bCs/>
                <w:color w:val="0F6B72"/>
              </w:rPr>
              <w:t xml:space="preserve">Important nuance</w:t>
            </w:r>
          </w:p>
          <w:p>
            <w:pPr>
              <w:spacing w:after="40"/>
            </w:pPr>
            <w:r>
              <w:t xml:space="preserve">These are three fully separate repositories with zero shared code. They are coupled only by two contracts: the GraphQL SDL (schema) and the REST API spec (api-contract.md). Nothing else connects them. No tooling from fk-mart-api-orchestrator is needed inside the meridian repo, and vice versa.</w:t>
            </w:r>
          </w:p>
        </w:tc>
      </w:tr>
    </w:tbl>
    <w:p>
      <w:pPr>
        <w:pStyle w:val="Heading1"/>
        <w:pBdr>
          <w:bottom w:val="single" w:color="0F6B72" w:sz="8" w:space="4"/>
        </w:pBdr>
        <w:spacing w:after="200" w:before="400"/>
      </w:pPr>
      <w:r>
        <w:rPr>
          <w:b/>
          <w:bCs/>
          <w:color w:val="1F3864"/>
        </w:rPr>
        <w:t xml:space="preserve">3. Why GraphQL / Why Harbor — the Honest Case</w:t>
      </w:r>
    </w:p>
    <w:p>
      <w:pPr>
        <w:spacing w:after="120"/>
      </w:pPr>
      <w:r>
        <w:t xml:space="preserve">This is very likely the first question your team will ask, so the honest answer should be led with rather than avoided:</w:t>
      </w:r>
    </w:p>
    <w:tbl>
      <w:tblPr>
        <w:tblW w:type="pct" w:w="100%"/>
        <w:tblBorders>
          <w:top w:val="single" w:color="B00020" w:sz="4"/>
          <w:left w:val="single" w:color="B00020" w:sz="24"/>
          <w:bottom w:val="single" w:color="B00020" w:sz="4"/>
          <w:right w:val="single" w:color="B00020" w:sz="4"/>
          <w:insideH w:val="single" w:color="auto" w:sz="4"/>
          <w:insideV w:val="single" w:color="auto" w:sz="4"/>
        </w:tblBorders>
      </w:tblPr>
      <w:tblGrid>
        <w:gridCol w:w="100"/>
      </w:tblGrid>
      <w:tr>
        <w:tc>
          <w:tcPr>
            <w:shd w:fill="FBEAEA" w:val="clear"/>
            <w:tcMar>
              <w:top w:type="dxa" w:w="120"/>
              <w:left w:type="dxa" w:w="180"/>
              <w:bottom w:type="dxa" w:w="120"/>
              <w:right w:type="dxa" w:w="180"/>
            </w:tcMar>
          </w:tcPr>
          <w:p>
            <w:pPr>
              <w:spacing w:after="60"/>
            </w:pPr>
            <w:r>
              <w:rPr>
                <w:b/>
                <w:bCs/>
                <w:color w:val="B00020"/>
              </w:rPr>
              <w:t xml:space="preserve">The honest answer</w:t>
            </w:r>
          </w:p>
          <w:p>
            <w:pPr>
              <w:spacing w:after="40"/>
            </w:pPr>
            <w:r>
              <w:t xml:space="preserve">For this specific app, with only one backend (Meridian), GraphQL/Harbor is not a technical necessity. If meridian-ui only ever needed Meridian's REST API, calling it directly would have worked fine. It was still mandated by the org, and here is why that tradeoff was made deliberately:</w:t>
            </w:r>
          </w:p>
        </w:tc>
      </w:tr>
    </w:tbl>
    <w:p>
      <w:pPr>
        <w:pStyle w:val="ListParagraph"/>
        <w:numPr>
          <w:ilvl w:val="0"/>
          <w:numId w:val="2"/>
        </w:numPr>
        <w:spacing w:after="80"/>
      </w:pPr>
      <w:r>
        <w:rPr>
          <w:b/>
          <w:bCs/>
        </w:rPr>
        <w:t xml:space="preserve">You don't rebuild a BFF (backend-for-frontend) from scratch. </w:t>
      </w:r>
      <w:r>
        <w:t xml:space="preserve">Someone already built auth-token handling, error formatting, observability, and circuit breakers into Harbor. Skipping it means meridian-ui's own server would have to rebuild all of that itself.</w:t>
      </w:r>
    </w:p>
    <w:p>
      <w:pPr>
        <w:pStyle w:val="ListParagraph"/>
        <w:numPr>
          <w:ilvl w:val="0"/>
          <w:numId w:val="2"/>
        </w:numPr>
        <w:spacing w:after="80"/>
      </w:pPr>
      <w:r>
        <w:rPr>
          <w:b/>
          <w:bCs/>
        </w:rPr>
        <w:t xml:space="preserve">Free multi-backend aggregation the moment it's needed. </w:t>
      </w:r>
      <w:r>
        <w:t xml:space="preserve">Meridian will eventually also need Elasticsearch (for FSN/store search). Under Harbor, that's just another Vajram added to the same schema. Without Harbor, the frontend would have to juggle two different backend URLs and two different auth schemes itself.</w:t>
      </w:r>
    </w:p>
    <w:p>
      <w:pPr>
        <w:pStyle w:val="ListParagraph"/>
        <w:numPr>
          <w:ilvl w:val="0"/>
          <w:numId w:val="2"/>
        </w:numPr>
        <w:spacing w:after="80"/>
      </w:pPr>
      <w:r>
        <w:rPr>
          <w:b/>
          <w:bCs/>
        </w:rPr>
        <w:t xml:space="preserve">One schema, typed queries, real caching. </w:t>
      </w:r>
      <w:r>
        <w:t xml:space="preserve">Apollo Client gets genuine benefits here — a normalized cache for master data, no-cache for live data — that a hand-rolled REST client would not give for free.</w:t>
      </w:r>
    </w:p>
    <w:p>
      <w:pPr>
        <w:pStyle w:val="ListParagraph"/>
        <w:numPr>
          <w:ilvl w:val="0"/>
          <w:numId w:val="2"/>
        </w:numPr>
        <w:spacing w:after="80"/>
      </w:pPr>
      <w:r>
        <w:rPr>
          <w:b/>
          <w:bCs/>
        </w:rPr>
        <w:t xml:space="preserve">It's the org standard. </w:t>
      </w:r>
      <w:r>
        <w:t xml:space="preserve">Other apps (fk-seller-app, fk-mart-seller-copilot) are already on Harbor, and a schema review board exists specifically to stop ten different teams inventing ten different field names for the same concept (e.g. “instock percentage”).</w:t>
      </w:r>
    </w:p>
    <w:tbl>
      <w:tblPr>
        <w:tblW w:type="pct" w:w="100%"/>
        <w:tblBorders>
          <w:top w:val="single" w:color="0F6B72" w:sz="4"/>
          <w:left w:val="single" w:color="0F6B72" w:sz="24"/>
          <w:bottom w:val="single" w:color="0F6B72" w:sz="4"/>
          <w:right w:val="single" w:color="0F6B72" w:sz="4"/>
          <w:insideH w:val="single" w:color="auto" w:sz="4"/>
          <w:insideV w:val="single" w:color="auto" w:sz="4"/>
        </w:tblBorders>
      </w:tblPr>
      <w:tblGrid>
        <w:gridCol w:w="100"/>
      </w:tblGrid>
      <w:tr>
        <w:tc>
          <w:tcPr>
            <w:shd w:fill="EAF1F1" w:val="clear"/>
            <w:tcMar>
              <w:top w:type="dxa" w:w="120"/>
              <w:left w:type="dxa" w:w="180"/>
              <w:bottom w:type="dxa" w:w="120"/>
              <w:right w:type="dxa" w:w="180"/>
            </w:tcMar>
          </w:tcPr>
          <w:p>
            <w:pPr>
              <w:spacing w:after="60"/>
            </w:pPr>
            <w:r>
              <w:rPr>
                <w:b/>
                <w:bCs/>
                <w:color w:val="0F6B72"/>
              </w:rPr>
              <w:t xml:space="preserve">If someone pushes back with “couldn't we have just skipped this”</w:t>
            </w:r>
          </w:p>
          <w:p>
            <w:pPr>
              <w:spacing w:after="40"/>
            </w:pPr>
            <w:r>
              <w:t xml:space="preserve">“Yes, technically, for this app alone. But the org decided the tradeoff — shared infrastructure and governance, at the cost of onboarding friction — is worth it, and it's not a decision our team made on its own.”</w:t>
            </w:r>
          </w:p>
        </w:tc>
      </w:tr>
    </w:tbl>
    <w:p>
      <w:pPr>
        <w:pStyle w:val="Heading3"/>
        <w:spacing w:after="80" w:before="200"/>
      </w:pPr>
      <w:r>
        <w:rPr>
          <w:b/>
          <w:bCs/>
          <w:color w:val="333333"/>
        </w:rPr>
        <w:t xml:space="preserve">Benefits, stated plainly — not marketing-speak</w:t>
      </w:r>
    </w:p>
    <w:p>
      <w:pPr>
        <w:pStyle w:val="ListParagraph"/>
        <w:numPr>
          <w:ilvl w:val="0"/>
          <w:numId w:val="2"/>
        </w:numPr>
        <w:spacing w:after="80"/>
      </w:pPr>
      <w:r>
        <w:rPr>
          <w:b/>
          <w:bCs/>
        </w:rPr>
        <w:t xml:space="preserve">One integration point</w:t>
      </w:r>
      <w:r>
        <w:t xml:space="preserve"> instead of every dashboard's frontend hand-rolling REST calls to N backends.</w:t>
      </w:r>
    </w:p>
    <w:p>
      <w:pPr>
        <w:pStyle w:val="ListParagraph"/>
        <w:numPr>
          <w:ilvl w:val="0"/>
          <w:numId w:val="2"/>
        </w:numPr>
        <w:spacing w:after="80"/>
      </w:pPr>
      <w:r>
        <w:rPr>
          <w:b/>
          <w:bCs/>
        </w:rPr>
        <w:t xml:space="preserve">Parallel execution for free</w:t>
      </w:r>
      <w:r>
        <w:t xml:space="preserve"> — Krystal, not something any team has to build itself.</w:t>
      </w:r>
    </w:p>
    <w:p>
      <w:pPr>
        <w:pStyle w:val="ListParagraph"/>
        <w:numPr>
          <w:ilvl w:val="0"/>
          <w:numId w:val="2"/>
        </w:numPr>
        <w:spacing w:after="80"/>
      </w:pPr>
      <w:r>
        <w:rPr>
          <w:b/>
          <w:bCs/>
        </w:rPr>
        <w:t xml:space="preserve">Shared auth / observability / error-handling infrastructure</w:t>
      </w:r>
      <w:r>
        <w:t xml:space="preserve"> — no team writes its own.</w:t>
      </w:r>
    </w:p>
    <w:p>
      <w:pPr>
        <w:pStyle w:val="ListParagraph"/>
        <w:numPr>
          <w:ilvl w:val="0"/>
          <w:numId w:val="2"/>
        </w:numPr>
        <w:spacing w:after="80"/>
      </w:pPr>
      <w:r>
        <w:rPr>
          <w:b/>
          <w:bCs/>
        </w:rPr>
        <w:t xml:space="preserve">A governed, discoverable schema</w:t>
      </w:r>
      <w:r>
        <w:t xml:space="preserve"> — other teams can see what fields already exist before building duplicates.</w:t>
      </w:r>
    </w:p>
    <w:p>
      <w:pPr>
        <w:pStyle w:val="ListParagraph"/>
        <w:numPr>
          <w:ilvl w:val="0"/>
          <w:numId w:val="2"/>
        </w:numPr>
        <w:spacing w:after="80"/>
      </w:pPr>
      <w:r>
        <w:rPr>
          <w:b/>
          <w:bCs/>
        </w:rPr>
        <w:t xml:space="preserve">Apollo Client's caching and typed queries</w:t>
      </w:r>
      <w:r>
        <w:t xml:space="preserve"> on the frontend side, without a hand-rolled equivalent.</w:t>
      </w:r>
    </w:p>
    <w:p>
      <w:pPr>
        <w:pStyle w:val="Heading1"/>
        <w:pBdr>
          <w:bottom w:val="single" w:color="0F6B72" w:sz="8" w:space="4"/>
        </w:pBdr>
        <w:spacing w:after="200" w:before="400"/>
      </w:pPr>
      <w:r>
        <w:rPr>
          <w:b/>
          <w:bCs/>
          <w:color w:val="1F3864"/>
        </w:rPr>
        <w:t xml:space="preserve">4. The Core Building Blocks</w:t>
      </w:r>
    </w:p>
    <w:p>
      <w:pPr>
        <w:pStyle w:val="Heading3"/>
        <w:spacing w:after="80" w:before="200"/>
      </w:pPr>
      <w:r>
        <w:rPr>
          <w:b/>
          <w:bCs/>
          <w:color w:val="333333"/>
        </w:rPr>
        <w:t xml:space="preserve">SDL — Schema Definition Language</w:t>
      </w:r>
    </w:p>
    <w:p>
      <w:pPr>
        <w:spacing w:after="120"/>
      </w:pPr>
      <w:r>
        <w:t xml:space="preserve">A </w:t>
      </w:r>
      <w:r>
        <w:rPr>
          <w:rFonts w:ascii="Consolas" w:cs="Consolas" w:eastAsia="Consolas" w:hAnsi="Consolas"/>
          <w:color w:val="8A2BE2"/>
          <w:sz w:val="20"/>
          <w:szCs w:val="20"/>
        </w:rPr>
        <w:t xml:space="preserve">.graphqls</w:t>
      </w:r>
      <w:r>
        <w:t xml:space="preserve"> text file declaring what fields and types exist. It is </w:t>
      </w:r>
      <w:r>
        <w:rPr>
          <w:b/>
          <w:bCs/>
        </w:rPr>
        <w:t xml:space="preserve">not executable code</w:t>
      </w:r>
      <w:r>
        <w:t xml:space="preserve"> — just a contract. Ours consists of </w:t>
      </w:r>
      <w:r>
        <w:rPr>
          <w:rFonts w:ascii="Consolas" w:cs="Consolas" w:eastAsia="Consolas" w:hAnsi="Consolas"/>
          <w:color w:val="8A2BE2"/>
          <w:sz w:val="20"/>
          <w:szCs w:val="20"/>
        </w:rPr>
        <w:t xml:space="preserve">Replenishment.graphqls</w:t>
      </w:r>
      <w:r>
        <w:t xml:space="preserve"> (a new domain file holding the types, enums, and inputs for Instock Monitoring) plus additions to the shared </w:t>
      </w:r>
      <w:r>
        <w:rPr>
          <w:rFonts w:ascii="Consolas" w:cs="Consolas" w:eastAsia="Consolas" w:hAnsi="Consolas"/>
          <w:color w:val="8A2BE2"/>
          <w:sz w:val="20"/>
          <w:szCs w:val="20"/>
        </w:rPr>
        <w:t xml:space="preserve">query.graphqls</w:t>
      </w:r>
      <w:r>
        <w:t xml:space="preserve"> file. This SDL is literally the file the frontend's Apollo queries are written against — Vaibhav's team writes Apollo queries in </w:t>
      </w:r>
      <w:r>
        <w:rPr>
          <w:rFonts w:ascii="Consolas" w:cs="Consolas" w:eastAsia="Consolas" w:hAnsi="Consolas"/>
          <w:color w:val="8A2BE2"/>
          <w:sz w:val="20"/>
          <w:szCs w:val="20"/>
        </w:rPr>
        <w:t xml:space="preserve">client/src/apollo/queries/</w:t>
      </w:r>
      <w:r>
        <w:t xml:space="preserve"> against exactly the SDL our team publishes.</w:t>
      </w:r>
    </w:p>
    <w:p>
      <w:pPr>
        <w:pStyle w:val="Heading3"/>
        <w:spacing w:after="80" w:before="200"/>
      </w:pPr>
      <w:r>
        <w:rPr>
          <w:b/>
          <w:bCs/>
          <w:color w:val="333333"/>
        </w:rPr>
        <w:t xml:space="preserve">Vajram — the atomic unit of business logic</w:t>
      </w:r>
    </w:p>
    <w:p>
      <w:pPr>
        <w:spacing w:after="120"/>
      </w:pPr>
      <w:r>
        <w:t xml:space="preserve">A Vajram is like a small, reusable function, but async/non-blocking by design. There are two kinds used here:</w:t>
      </w:r>
    </w:p>
    <w:p>
      <w:pPr>
        <w:pStyle w:val="ListParagraph"/>
        <w:numPr>
          <w:ilvl w:val="0"/>
          <w:numId w:val="2"/>
        </w:numPr>
        <w:spacing w:after="80"/>
      </w:pPr>
      <w:r>
        <w:rPr>
          <w:b/>
          <w:bCs/>
        </w:rPr>
        <w:t xml:space="preserve">IO Vajram</w:t>
      </w:r>
      <w:r>
        <w:t xml:space="preserve"> — makes the actual external network call. Example: </w:t>
      </w:r>
      <w:r>
        <w:rPr>
          <w:rFonts w:ascii="Consolas" w:cs="Consolas" w:eastAsia="Consolas" w:hAnsi="Consolas"/>
          <w:color w:val="8A2BE2"/>
          <w:sz w:val="20"/>
          <w:szCs w:val="20"/>
        </w:rPr>
        <w:t xml:space="preserve">GetInstockKpisFromService</w:t>
      </w:r>
      <w:r>
        <w:t xml:space="preserve"> is the only place in the whole chain that calls </w:t>
      </w:r>
      <w:r>
        <w:rPr>
          <w:rFonts w:ascii="Consolas" w:cs="Consolas" w:eastAsia="Consolas" w:hAnsi="Consolas"/>
          <w:color w:val="8A2BE2"/>
          <w:sz w:val="20"/>
          <w:szCs w:val="20"/>
        </w:rPr>
        <w:t xml:space="preserve">GET /api/v1/instock/kpi</w:t>
      </w:r>
      <w:r>
        <w:t xml:space="preserve">.</w:t>
      </w:r>
    </w:p>
    <w:p>
      <w:pPr>
        <w:pStyle w:val="ListParagraph"/>
        <w:numPr>
          <w:ilvl w:val="0"/>
          <w:numId w:val="2"/>
        </w:numPr>
        <w:spacing w:after="80"/>
      </w:pPr>
      <w:r>
        <w:rPr>
          <w:b/>
          <w:bCs/>
        </w:rPr>
        <w:t xml:space="preserve">Compute Vajram</w:t>
      </w:r>
      <w:r>
        <w:t xml:space="preserve"> — pure logic, no network calls, just data transformation. Example: </w:t>
      </w:r>
      <w:r>
        <w:rPr>
          <w:rFonts w:ascii="Consolas" w:cs="Consolas" w:eastAsia="Consolas" w:hAnsi="Consolas"/>
          <w:color w:val="8A2BE2"/>
          <w:sz w:val="20"/>
          <w:szCs w:val="20"/>
        </w:rPr>
        <w:t xml:space="preserve">GetInstockKpis</w:t>
      </w:r>
      <w:r>
        <w:t xml:space="preserve"> takes the raw REST JSON and maps it into the shape GraphQL expects.</w:t>
      </w:r>
    </w:p>
    <w:p>
      <w:pPr>
        <w:pStyle w:val="Heading3"/>
        <w:spacing w:after="80" w:before="200"/>
      </w:pPr>
      <w:r>
        <w:rPr>
          <w:b/>
          <w:bCs/>
          <w:color w:val="333333"/>
        </w:rPr>
        <w:t xml:space="preserve">Aggregator — the field's real entry point</w:t>
      </w:r>
    </w:p>
    <w:p>
      <w:pPr>
        <w:spacing w:after="120"/>
      </w:pPr>
      <w:r>
        <w:t xml:space="preserve">A special top-level Compute Vajram that the SDL's </w:t>
      </w:r>
      <w:r>
        <w:rPr>
          <w:rFonts w:ascii="Consolas" w:cs="Consolas" w:eastAsia="Consolas" w:hAnsi="Consolas"/>
          <w:color w:val="8A2BE2"/>
          <w:sz w:val="20"/>
          <w:szCs w:val="20"/>
        </w:rPr>
        <w:t xml:space="preserve">@dataFetcher(vajramId: "...")</w:t>
      </w:r>
      <w:r>
        <w:t xml:space="preserve"> directive actually points to. It's what Harbor invokes the moment a client asks for that field. Example: </w:t>
      </w:r>
      <w:r>
        <w:rPr>
          <w:rFonts w:ascii="Consolas" w:cs="Consolas" w:eastAsia="Consolas" w:hAnsi="Consolas"/>
          <w:color w:val="8A2BE2"/>
          <w:sz w:val="20"/>
          <w:szCs w:val="20"/>
        </w:rPr>
        <w:t xml:space="preserve">InstockKPIsGraphQLAggregator</w:t>
      </w:r>
      <w:r>
        <w:t xml:space="preserve"> binds the incoming GraphQL arguments (</w:t>
      </w:r>
      <w:r>
        <w:rPr>
          <w:rFonts w:ascii="Consolas" w:cs="Consolas" w:eastAsia="Consolas" w:hAnsi="Consolas"/>
          <w:color w:val="8A2BE2"/>
          <w:sz w:val="20"/>
          <w:szCs w:val="20"/>
        </w:rPr>
        <w:t xml:space="preserve">compareVs</w:t>
      </w:r>
      <w:r>
        <w:t xml:space="preserve">, </w:t>
      </w:r>
      <w:r>
        <w:rPr>
          <w:rFonts w:ascii="Consolas" w:cs="Consolas" w:eastAsia="Consolas" w:hAnsi="Consolas"/>
          <w:color w:val="8A2BE2"/>
          <w:sz w:val="20"/>
          <w:szCs w:val="20"/>
        </w:rPr>
        <w:t xml:space="preserve">filters</w:t>
      </w:r>
      <w:r>
        <w:t xml:space="preserve">), depends on the Compute Vajram, and decides what happens on error.</w:t>
      </w:r>
    </w:p>
    <w:tbl>
      <w:tblPr>
        <w:tblW w:type="pct" w:w="100%"/>
        <w:tblBorders>
          <w:top w:val="single" w:color="B00020" w:sz="4"/>
          <w:left w:val="single" w:color="B00020" w:sz="24"/>
          <w:bottom w:val="single" w:color="B00020" w:sz="4"/>
          <w:right w:val="single" w:color="B00020" w:sz="4"/>
          <w:insideH w:val="single" w:color="auto" w:sz="4"/>
          <w:insideV w:val="single" w:color="auto" w:sz="4"/>
        </w:tblBorders>
      </w:tblPr>
      <w:tblGrid>
        <w:gridCol w:w="100"/>
      </w:tblGrid>
      <w:tr>
        <w:tc>
          <w:tcPr>
            <w:shd w:fill="FBEAEA" w:val="clear"/>
            <w:tcMar>
              <w:top w:type="dxa" w:w="120"/>
              <w:left w:type="dxa" w:w="180"/>
              <w:bottom w:type="dxa" w:w="120"/>
              <w:right w:type="dxa" w:w="180"/>
            </w:tcMar>
          </w:tcPr>
          <w:p>
            <w:pPr>
              <w:spacing w:after="60"/>
            </w:pPr>
            <w:r>
              <w:rPr>
                <w:b/>
                <w:bCs/>
                <w:color w:val="B00020"/>
              </w:rPr>
              <w:t xml:space="preserve">Correction worth raising proactively with the team</w:t>
            </w:r>
          </w:p>
          <w:p>
            <w:pPr>
              <w:spacing w:after="40"/>
            </w:pPr>
            <w:r>
              <w:t xml:space="preserve">Some docs floating around describe Aggregators as “auto-generated.” This was checked directly against the real repo: every single Aggregator file — including every one built this session — is hand-written, committed source code. There is a code-gen Gradle plugin referenced in the repo, but it is explicitly disabled with a comment reading “// TODO: remove this once code gen is moved to jar,” and a related “backend-code-generation” skill file exists but is empty. The docs describe a planned future state, not the current reality.</w:t>
            </w:r>
          </w:p>
        </w:tc>
      </w:tr>
    </w:tbl>
    <w:p>
      <w:pPr>
        <w:pStyle w:val="Heading3"/>
        <w:spacing w:after="80" w:before="200"/>
      </w:pPr>
      <w:r>
        <w:rPr>
          <w:b/>
          <w:bCs/>
          <w:color w:val="333333"/>
        </w:rPr>
        <w:t xml:space="preserve">Krystal — the execution engine</w:t>
      </w:r>
    </w:p>
    <w:p>
      <w:pPr>
        <w:spacing w:after="120"/>
      </w:pPr>
      <w:r>
        <w:t xml:space="preserve">Flipkart's internal engine that actually runs these Vajram chains. Its main selling point over plain GraphQL: it executes independent fields in parallel rather than one at a time. So if a query asks for 3 unrelated fields, Krystal fires all 3 backend calls at once instead of sequentially.</w:t>
      </w:r>
    </w:p>
    <w:p>
      <w:pPr>
        <w:pStyle w:val="Heading1"/>
        <w:pBdr>
          <w:bottom w:val="single" w:color="0F6B72" w:sz="8" w:space="4"/>
        </w:pBdr>
        <w:spacing w:after="200" w:before="400"/>
      </w:pPr>
      <w:r>
        <w:rPr>
          <w:b/>
          <w:bCs/>
          <w:color w:val="1F3864"/>
        </w:rPr>
        <w:t xml:space="preserve">5. How a Request Actually Flows, End to End</w:t>
      </w:r>
    </w:p>
    <w:p>
      <w:pPr>
        <w:spacing w:after="120"/>
      </w:pPr>
      <w:r>
        <w:t xml:space="preserve">Traced concretely against real source code, using our own instockKPIs field as the example:</w:t>
      </w:r>
    </w:p>
    <w:p>
      <w:pPr>
        <w:pStyle w:val="ListParagraph"/>
        <w:numPr>
          <w:ilvl w:val="0"/>
          <w:numId w:val="3"/>
        </w:numPr>
        <w:spacing w:after="80"/>
      </w:pPr>
      <w:r>
        <w:t xml:space="preserve">React app's Apollo Client sends: POST /graphql  { query: "{ instockKPIs(compareVs: DAY_START, filters:{}) {...} }" }</w:t>
      </w:r>
    </w:p>
    <w:p>
      <w:pPr>
        <w:pStyle w:val="ListParagraph"/>
        <w:numPr>
          <w:ilvl w:val="0"/>
          <w:numId w:val="3"/>
        </w:numPr>
        <w:spacing w:after="80"/>
      </w:pPr>
      <w:r>
        <w:t xml:space="preserve">Harbor's manager module receives it (OrchestratorServiceImpl.prepare()).</w:t>
      </w:r>
    </w:p>
    <w:p>
      <w:pPr>
        <w:pStyle w:val="ListParagraph"/>
        <w:numPr>
          <w:ilvl w:val="0"/>
          <w:numId w:val="3"/>
        </w:numPr>
        <w:spacing w:after="80"/>
      </w:pPr>
      <w:r>
        <w:t xml:space="preserve">graphql-java parses the query against the merged schema (merged across every team's SDL files).</w:t>
      </w:r>
    </w:p>
    <w:p>
      <w:pPr>
        <w:pStyle w:val="ListParagraph"/>
        <w:numPr>
          <w:ilvl w:val="0"/>
          <w:numId w:val="3"/>
        </w:numPr>
        <w:spacing w:after="80"/>
      </w:pPr>
      <w:r>
        <w:t xml:space="preserve">It sees @dataFetcher(vajramId: "InstockKPIsGraphQLAggregator") on that field.</w:t>
      </w:r>
    </w:p>
    <w:p>
      <w:pPr>
        <w:pStyle w:val="ListParagraph"/>
        <w:numPr>
          <w:ilvl w:val="0"/>
          <w:numId w:val="3"/>
        </w:numPr>
        <w:spacing w:after="80"/>
      </w:pPr>
      <w:r>
        <w:t xml:space="preserve">Krystal looks up that class — registered at boot time by scanning the entire classpath, forming what's called the VajramKryonGraph.</w:t>
      </w:r>
    </w:p>
    <w:p>
      <w:pPr>
        <w:pStyle w:val="ListParagraph"/>
        <w:numPr>
          <w:ilvl w:val="0"/>
          <w:numId w:val="3"/>
        </w:numPr>
        <w:spacing w:after="80"/>
      </w:pPr>
      <w:r>
        <w:t xml:space="preserve">Krystal executes the chain in order: InstockKPIsGraphQLAggregator → GetInstockKpis (Compute) → GetInstockKpisFromService (IO).</w:t>
      </w:r>
    </w:p>
    <w:p>
      <w:pPr>
        <w:pStyle w:val="ListParagraph"/>
        <w:numPr>
          <w:ilvl w:val="0"/>
          <w:numId w:val="3"/>
        </w:numPr>
        <w:spacing w:after="80"/>
      </w:pPr>
      <w:r>
        <w:t xml:space="preserve">The IO Vajram fires the real REST call: GET http://{meridian-host}/api/v1/instock/kpi?compareVs=DAY_START</w:t>
      </w:r>
    </w:p>
    <w:p>
      <w:pPr>
        <w:pStyle w:val="ListParagraph"/>
        <w:numPr>
          <w:ilvl w:val="0"/>
          <w:numId w:val="3"/>
        </w:numPr>
        <w:spacing w:after="80"/>
      </w:pPr>
      <w:r>
        <w:t xml:space="preserve">Meridian's serving layer queries MySQL and returns JSON.</w:t>
      </w:r>
    </w:p>
    <w:p>
      <w:pPr>
        <w:pStyle w:val="ListParagraph"/>
        <w:numPr>
          <w:ilvl w:val="0"/>
          <w:numId w:val="3"/>
        </w:numPr>
        <w:spacing w:after="80"/>
      </w:pPr>
      <w:r>
        <w:t xml:space="preserve">The response flows back up: Compute maps the JSON into GraphQL shape, the Aggregator returns it (or throws on error).</w:t>
      </w:r>
    </w:p>
    <w:p>
      <w:pPr>
        <w:pStyle w:val="ListParagraph"/>
        <w:numPr>
          <w:ilvl w:val="0"/>
          <w:numId w:val="3"/>
        </w:numPr>
        <w:spacing w:after="80"/>
      </w:pPr>
      <w:r>
        <w:t xml:space="preserve">Harbor packages the result as { data, dataErrors, graphErrors } and returns HTTP 200 to Apollo Client — always 200, regardless of partial failure.</w:t>
      </w:r>
    </w:p>
    <w:p>
      <w:pPr>
        <w:pStyle w:val="ListParagraph"/>
        <w:numPr>
          <w:ilvl w:val="0"/>
          <w:numId w:val="3"/>
        </w:numPr>
        <w:spacing w:after="80"/>
      </w:pPr>
      <w:r>
        <w:t xml:space="preserve">Apollo's transformer processes it, and React renders.</w:t>
      </w:r>
    </w:p>
    <w:tbl>
      <w:tblPr>
        <w:tblW w:type="pct" w:w="100%"/>
        <w:tblBorders>
          <w:top w:val="single" w:color="0F6B72" w:sz="4"/>
          <w:left w:val="single" w:color="0F6B72" w:sz="24"/>
          <w:bottom w:val="single" w:color="0F6B72" w:sz="4"/>
          <w:right w:val="single" w:color="0F6B72" w:sz="4"/>
          <w:insideH w:val="single" w:color="auto" w:sz="4"/>
          <w:insideV w:val="single" w:color="auto" w:sz="4"/>
        </w:tblBorders>
      </w:tblPr>
      <w:tblGrid>
        <w:gridCol w:w="100"/>
      </w:tblGrid>
      <w:tr>
        <w:tc>
          <w:tcPr>
            <w:shd w:fill="EAF1F1" w:val="clear"/>
            <w:tcMar>
              <w:top w:type="dxa" w:w="120"/>
              <w:left w:type="dxa" w:w="180"/>
              <w:bottom w:type="dxa" w:w="120"/>
              <w:right w:type="dxa" w:w="180"/>
            </w:tcMar>
          </w:tcPr>
          <w:p>
            <w:pPr>
              <w:spacing w:after="60"/>
            </w:pPr>
            <w:r>
              <w:rPr>
                <w:b/>
                <w:bCs/>
                <w:color w:val="0F6B72"/>
              </w:rPr>
              <w:t xml:space="preserve">Detail worth flagging in the room — “what happens if something breaks?”</w:t>
            </w:r>
          </w:p>
          <w:p>
            <w:pPr>
              <w:spacing w:after="40"/>
            </w:pPr>
            <w:r>
              <w:t xml:space="preserve">Harbor always returns HTTP 200, even on partial failure. Real errors surface inside the response body's graphErrors / dataErrors fields, not the HTTP status code. This was verified directly against source (not assumed from a doc) — see Section 10.</w:t>
            </w:r>
          </w:p>
        </w:tc>
      </w:tr>
    </w:tbl>
    <w:p>
      <w:pPr>
        <w:pStyle w:val="Heading3"/>
        <w:spacing w:after="80" w:before="200"/>
      </w:pPr>
      <w:r>
        <w:rPr>
          <w:b/>
          <w:bCs/>
          <w:color w:val="333333"/>
        </w:rPr>
        <w:t xml:space="preserve">What the UI team (Vaibhav) actually does</w:t>
      </w:r>
    </w:p>
    <w:p>
      <w:pPr>
        <w:spacing w:after="120"/>
      </w:pPr>
      <w:r>
        <w:t xml:space="preserve">Writes Apollo queries in client/src/apollo/queries/ against the SDL our team publishes. Every call must include a mandatory useGateway: true flag and specific headers — Harbor ignores any call made without them:</w:t>
      </w:r>
    </w:p>
    <w:tbl>
      <w:tblPr>
        <w:tblW w:type="pct" w:w="100%"/>
        <w:tblBorders>
          <w:top w:val="single" w:color="8A6D00" w:sz="4"/>
          <w:left w:val="single" w:color="8A6D00" w:sz="24"/>
          <w:bottom w:val="single" w:color="8A6D00" w:sz="4"/>
          <w:right w:val="single" w:color="8A6D00" w:sz="4"/>
          <w:insideH w:val="single" w:color="auto" w:sz="4"/>
          <w:insideV w:val="single" w:color="auto" w:sz="4"/>
        </w:tblBorders>
      </w:tblPr>
      <w:tblGrid>
        <w:gridCol w:w="100"/>
      </w:tblGrid>
      <w:tr>
        <w:tc>
          <w:tcPr>
            <w:shd w:fill="FBF3DF" w:val="clear"/>
            <w:tcMar>
              <w:top w:type="dxa" w:w="120"/>
              <w:left w:type="dxa" w:w="180"/>
              <w:bottom w:type="dxa" w:w="120"/>
              <w:right w:type="dxa" w:w="180"/>
            </w:tcMar>
          </w:tcPr>
          <w:p>
            <w:pPr>
              <w:spacing w:after="60"/>
            </w:pPr>
            <w:r>
              <w:rPr>
                <w:b/>
                <w:bCs/>
                <w:color w:val="8A6D00"/>
              </w:rPr>
              <w:t xml:space="preserve">Mandatory request shape from the UI side</w:t>
            </w:r>
          </w:p>
          <w:p>
            <w:pPr>
              <w:spacing w:after="40"/>
            </w:pPr>
            <w:r>
              <w:t xml:space="preserve">variables: { ..., useGateway: true }</w:t>
            </w:r>
          </w:p>
          <w:p>
            <w:pPr>
              <w:spacing w:after="40"/>
            </w:pPr>
            <w:r>
              <w:t xml:space="preserve">context: { headers: { 'x-user-id': session.userId, 'x-client-id': 'fk-meridian-prod', 'Content-Type': 'application/json' } }</w:t>
            </w:r>
          </w:p>
        </w:tc>
      </w:tr>
    </w:tbl>
    <w:p>
      <w:pPr>
        <w:pStyle w:val="Heading1"/>
        <w:pBdr>
          <w:bottom w:val="single" w:color="0F6B72" w:sz="8" w:space="4"/>
        </w:pBdr>
        <w:spacing w:after="200" w:before="400"/>
      </w:pPr>
      <w:r>
        <w:rPr>
          <w:b/>
          <w:bCs/>
          <w:color w:val="1F3864"/>
        </w:rPr>
        <w:t xml:space="preserve">6. What Each GraphQL Field Actually Returns — Plain English</w:t>
      </w:r>
    </w:p>
    <w:p>
      <w:pPr>
        <w:spacing w:after="120"/>
      </w:pPr>
      <w:r>
        <w:t xml:space="preserve">A fair way to describe these to a non-technical audience: each one is a GraphQL query field, which from the frontend's point of view works exactly like an API endpoint — Vaibhav's app calls it by name and gets data back. Internally, each is backed by a real REST call to Meridian, wrapped in the 3 Java layers (IO → Compute → Aggregator) so Harbor can serve it as part of the shared schema.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4350"/>
        <w:gridCol w:w="2500"/>
      </w:tblGrid>
      <w:tr>
        <w:trPr>
          <w:tblHeader/>
        </w:trPr>
        <w:tc>
          <w:tcPr>
            <w:tcW w:type="dxa" w:w="500"/>
            <w:shd w:fill="1F3864" w:val="clear"/>
            <w:tcMar>
              <w:top w:type="dxa" w:w="80"/>
              <w:left w:type="dxa" w:w="100"/>
              <w:bottom w:type="dxa" w:w="80"/>
              <w:right w:type="dxa" w:w="100"/>
            </w:tcMar>
            <w:vAlign w:val="center"/>
          </w:tcPr>
          <w:p>
            <w:r>
              <w:rPr>
                <w:b/>
                <w:bCs/>
                <w:color w:val="FFFFFF"/>
                <w:sz w:val="20"/>
                <w:szCs w:val="20"/>
              </w:rPr>
              <w:t xml:space="preserve">#</w:t>
            </w:r>
          </w:p>
        </w:tc>
        <w:tc>
          <w:tcPr>
            <w:tcW w:type="dxa" w:w="2000"/>
            <w:shd w:fill="1F3864" w:val="clear"/>
            <w:tcMar>
              <w:top w:type="dxa" w:w="80"/>
              <w:left w:type="dxa" w:w="100"/>
              <w:bottom w:type="dxa" w:w="80"/>
              <w:right w:type="dxa" w:w="100"/>
            </w:tcMar>
            <w:vAlign w:val="center"/>
          </w:tcPr>
          <w:p>
            <w:r>
              <w:rPr>
                <w:b/>
                <w:bCs/>
                <w:color w:val="FFFFFF"/>
                <w:sz w:val="20"/>
                <w:szCs w:val="20"/>
              </w:rPr>
              <w:t xml:space="preserve">Field (what UI calls)</w:t>
            </w:r>
          </w:p>
        </w:tc>
        <w:tc>
          <w:tcPr>
            <w:tcW w:type="dxa" w:w="4350"/>
            <w:shd w:fill="1F3864" w:val="clear"/>
            <w:tcMar>
              <w:top w:type="dxa" w:w="80"/>
              <w:left w:type="dxa" w:w="100"/>
              <w:bottom w:type="dxa" w:w="80"/>
              <w:right w:type="dxa" w:w="100"/>
            </w:tcMar>
            <w:vAlign w:val="center"/>
          </w:tcPr>
          <w:p>
            <w:r>
              <w:rPr>
                <w:b/>
                <w:bCs/>
                <w:color w:val="FFFFFF"/>
                <w:sz w:val="20"/>
                <w:szCs w:val="20"/>
              </w:rPr>
              <w:t xml:space="preserve">What it returns</w:t>
            </w:r>
          </w:p>
        </w:tc>
        <w:tc>
          <w:tcPr>
            <w:tcW w:type="dxa" w:w="2500"/>
            <w:shd w:fill="1F3864" w:val="clear"/>
            <w:tcMar>
              <w:top w:type="dxa" w:w="80"/>
              <w:left w:type="dxa" w:w="100"/>
              <w:bottom w:type="dxa" w:w="80"/>
              <w:right w:type="dxa" w:w="100"/>
            </w:tcMar>
            <w:vAlign w:val="center"/>
          </w:tcPr>
          <w:p>
            <w:r>
              <w:rPr>
                <w:b/>
                <w:bCs/>
                <w:color w:val="FFFFFF"/>
                <w:sz w:val="20"/>
                <w:szCs w:val="20"/>
              </w:rPr>
              <w:t xml:space="preserve">REST endpoint underneath</w:t>
            </w:r>
          </w:p>
        </w:tc>
      </w:tr>
      <w:tr>
        <w:tc>
          <w:tcPr>
            <w:tcW w:type="dxa" w:w="500"/>
            <w:shd w:fill="FFFFFF" w:val="clear"/>
            <w:tcMar>
              <w:top w:type="dxa" w:w="70"/>
              <w:left w:type="dxa" w:w="100"/>
              <w:bottom w:type="dxa" w:w="70"/>
              <w:right w:type="dxa" w:w="100"/>
            </w:tcMar>
            <w:vAlign w:val="center"/>
          </w:tcPr>
          <w:p>
            <w:r>
              <w:rPr>
                <w:sz w:val="20"/>
                <w:szCs w:val="20"/>
              </w:rPr>
              <w:t xml:space="preserve">1</w:t>
            </w:r>
          </w:p>
        </w:tc>
        <w:tc>
          <w:tcPr>
            <w:tcW w:type="dxa" w:w="2000"/>
            <w:shd w:fill="FFFFFF" w:val="clear"/>
            <w:tcMar>
              <w:top w:type="dxa" w:w="70"/>
              <w:left w:type="dxa" w:w="100"/>
              <w:bottom w:type="dxa" w:w="70"/>
              <w:right w:type="dxa" w:w="100"/>
            </w:tcMar>
            <w:vAlign w:val="center"/>
          </w:tcPr>
          <w:p>
            <w:r>
              <w:rPr>
                <w:sz w:val="20"/>
                <w:szCs w:val="20"/>
              </w:rPr>
              <w:t xml:space="preserve">instockKPIs</w:t>
            </w:r>
          </w:p>
        </w:tc>
        <w:tc>
          <w:tcPr>
            <w:tcW w:type="dxa" w:w="4350"/>
            <w:shd w:fill="FFFFFF" w:val="clear"/>
            <w:tcMar>
              <w:top w:type="dxa" w:w="70"/>
              <w:left w:type="dxa" w:w="100"/>
              <w:bottom w:type="dxa" w:w="70"/>
              <w:right w:type="dxa" w:w="100"/>
            </w:tcMar>
            <w:vAlign w:val="center"/>
          </w:tcPr>
          <w:p>
            <w:r>
              <w:rPr>
                <w:sz w:val="20"/>
                <w:szCs w:val="20"/>
              </w:rPr>
              <w:t xml:space="preserve">The 3 headline KPI cards — overall instock %, OOS count, dark stores below 90%</w:t>
            </w:r>
          </w:p>
        </w:tc>
        <w:tc>
          <w:tcPr>
            <w:tcW w:type="dxa" w:w="2500"/>
            <w:shd w:fill="FFFFFF" w:val="clear"/>
            <w:tcMar>
              <w:top w:type="dxa" w:w="70"/>
              <w:left w:type="dxa" w:w="100"/>
              <w:bottom w:type="dxa" w:w="70"/>
              <w:right w:type="dxa" w:w="100"/>
            </w:tcMar>
            <w:vAlign w:val="center"/>
          </w:tcPr>
          <w:p>
            <w:r>
              <w:rPr>
                <w:sz w:val="20"/>
                <w:szCs w:val="20"/>
              </w:rPr>
              <w:t xml:space="preserve">GET /api/v1/instock/kpi</w:t>
            </w:r>
          </w:p>
        </w:tc>
      </w:tr>
      <w:tr>
        <w:tc>
          <w:tcPr>
            <w:tcW w:type="dxa" w:w="500"/>
            <w:shd w:fill="F2F6F6" w:val="clear"/>
            <w:tcMar>
              <w:top w:type="dxa" w:w="70"/>
              <w:left w:type="dxa" w:w="100"/>
              <w:bottom w:type="dxa" w:w="70"/>
              <w:right w:type="dxa" w:w="100"/>
            </w:tcMar>
            <w:vAlign w:val="center"/>
          </w:tcPr>
          <w:p>
            <w:r>
              <w:rPr>
                <w:sz w:val="20"/>
                <w:szCs w:val="20"/>
              </w:rPr>
              <w:t xml:space="preserve">2</w:t>
            </w:r>
          </w:p>
        </w:tc>
        <w:tc>
          <w:tcPr>
            <w:tcW w:type="dxa" w:w="2000"/>
            <w:shd w:fill="F2F6F6" w:val="clear"/>
            <w:tcMar>
              <w:top w:type="dxa" w:w="70"/>
              <w:left w:type="dxa" w:w="100"/>
              <w:bottom w:type="dxa" w:w="70"/>
              <w:right w:type="dxa" w:w="100"/>
            </w:tcMar>
            <w:vAlign w:val="center"/>
          </w:tcPr>
          <w:p>
            <w:r>
              <w:rPr>
                <w:sz w:val="20"/>
                <w:szCs w:val="20"/>
              </w:rPr>
              <w:t xml:space="preserve">worstFsns</w:t>
            </w:r>
          </w:p>
        </w:tc>
        <w:tc>
          <w:tcPr>
            <w:tcW w:type="dxa" w:w="4350"/>
            <w:shd w:fill="F2F6F6" w:val="clear"/>
            <w:tcMar>
              <w:top w:type="dxa" w:w="70"/>
              <w:left w:type="dxa" w:w="100"/>
              <w:bottom w:type="dxa" w:w="70"/>
              <w:right w:type="dxa" w:w="100"/>
            </w:tcMar>
            <w:vAlign w:val="center"/>
          </w:tcPr>
          <w:p>
            <w:r>
              <w:rPr>
                <w:sz w:val="20"/>
                <w:szCs w:val="20"/>
              </w:rPr>
              <w:t xml:space="preserve">List of worst-performing FSNs (products), ranked by out-of-stock severity — powers the “View Worst FSNs” modal</w:t>
            </w:r>
          </w:p>
        </w:tc>
        <w:tc>
          <w:tcPr>
            <w:tcW w:type="dxa" w:w="2500"/>
            <w:shd w:fill="F2F6F6" w:val="clear"/>
            <w:tcMar>
              <w:top w:type="dxa" w:w="70"/>
              <w:left w:type="dxa" w:w="100"/>
              <w:bottom w:type="dxa" w:w="70"/>
              <w:right w:type="dxa" w:w="100"/>
            </w:tcMar>
            <w:vAlign w:val="center"/>
          </w:tcPr>
          <w:p>
            <w:r>
              <w:rPr>
                <w:sz w:val="20"/>
                <w:szCs w:val="20"/>
              </w:rPr>
              <w:t xml:space="preserve">GET /api/v1/instock/kpi/worst-fsns</w:t>
            </w:r>
          </w:p>
        </w:tc>
      </w:tr>
      <w:tr>
        <w:tc>
          <w:tcPr>
            <w:tcW w:type="dxa" w:w="500"/>
            <w:shd w:fill="FFFFFF" w:val="clear"/>
            <w:tcMar>
              <w:top w:type="dxa" w:w="70"/>
              <w:left w:type="dxa" w:w="100"/>
              <w:bottom w:type="dxa" w:w="70"/>
              <w:right w:type="dxa" w:w="100"/>
            </w:tcMar>
            <w:vAlign w:val="center"/>
          </w:tcPr>
          <w:p>
            <w:r>
              <w:rPr>
                <w:sz w:val="20"/>
                <w:szCs w:val="20"/>
              </w:rPr>
              <w:t xml:space="preserve">3</w:t>
            </w:r>
          </w:p>
        </w:tc>
        <w:tc>
          <w:tcPr>
            <w:tcW w:type="dxa" w:w="2000"/>
            <w:shd w:fill="FFFFFF" w:val="clear"/>
            <w:tcMar>
              <w:top w:type="dxa" w:w="70"/>
              <w:left w:type="dxa" w:w="100"/>
              <w:bottom w:type="dxa" w:w="70"/>
              <w:right w:type="dxa" w:w="100"/>
            </w:tcMar>
            <w:vAlign w:val="center"/>
          </w:tcPr>
          <w:p>
            <w:r>
              <w:rPr>
                <w:sz w:val="20"/>
                <w:szCs w:val="20"/>
              </w:rPr>
              <w:t xml:space="preserve">exportJob</w:t>
            </w:r>
          </w:p>
        </w:tc>
        <w:tc>
          <w:tcPr>
            <w:tcW w:type="dxa" w:w="4350"/>
            <w:shd w:fill="FFFFFF" w:val="clear"/>
            <w:tcMar>
              <w:top w:type="dxa" w:w="70"/>
              <w:left w:type="dxa" w:w="100"/>
              <w:bottom w:type="dxa" w:w="70"/>
              <w:right w:type="dxa" w:w="100"/>
            </w:tcMar>
            <w:vAlign w:val="center"/>
          </w:tcPr>
          <w:p>
            <w:r>
              <w:rPr>
                <w:sz w:val="20"/>
                <w:szCs w:val="20"/>
              </w:rPr>
              <w:t xml:space="preserve">Status of an async export job (queued/done/failed, download link) — powers download-progress polling</w:t>
            </w:r>
          </w:p>
        </w:tc>
        <w:tc>
          <w:tcPr>
            <w:tcW w:type="dxa" w:w="2500"/>
            <w:shd w:fill="FFFFFF" w:val="clear"/>
            <w:tcMar>
              <w:top w:type="dxa" w:w="70"/>
              <w:left w:type="dxa" w:w="100"/>
              <w:bottom w:type="dxa" w:w="70"/>
              <w:right w:type="dxa" w:w="100"/>
            </w:tcMar>
            <w:vAlign w:val="center"/>
          </w:tcPr>
          <w:p>
            <w:r>
              <w:rPr>
                <w:sz w:val="20"/>
                <w:szCs w:val="20"/>
              </w:rPr>
              <w:t xml:space="preserve">GET /api/v1/exports/{jobId}</w:t>
            </w:r>
          </w:p>
        </w:tc>
      </w:tr>
      <w:tr>
        <w:tc>
          <w:tcPr>
            <w:tcW w:type="dxa" w:w="500"/>
            <w:shd w:fill="F2F6F6" w:val="clear"/>
            <w:tcMar>
              <w:top w:type="dxa" w:w="70"/>
              <w:left w:type="dxa" w:w="100"/>
              <w:bottom w:type="dxa" w:w="70"/>
              <w:right w:type="dxa" w:w="100"/>
            </w:tcMar>
            <w:vAlign w:val="center"/>
          </w:tcPr>
          <w:p>
            <w:r>
              <w:rPr>
                <w:sz w:val="20"/>
                <w:szCs w:val="20"/>
              </w:rPr>
              <w:t xml:space="preserve">4</w:t>
            </w:r>
          </w:p>
        </w:tc>
        <w:tc>
          <w:tcPr>
            <w:tcW w:type="dxa" w:w="2000"/>
            <w:shd w:fill="F2F6F6" w:val="clear"/>
            <w:tcMar>
              <w:top w:type="dxa" w:w="70"/>
              <w:left w:type="dxa" w:w="100"/>
              <w:bottom w:type="dxa" w:w="70"/>
              <w:right w:type="dxa" w:w="100"/>
            </w:tcMar>
            <w:vAlign w:val="center"/>
          </w:tcPr>
          <w:p>
            <w:r>
              <w:rPr>
                <w:sz w:val="20"/>
                <w:szCs w:val="20"/>
              </w:rPr>
              <w:t xml:space="preserve">instockCities</w:t>
            </w:r>
          </w:p>
        </w:tc>
        <w:tc>
          <w:tcPr>
            <w:tcW w:type="dxa" w:w="4350"/>
            <w:shd w:fill="F2F6F6" w:val="clear"/>
            <w:tcMar>
              <w:top w:type="dxa" w:w="70"/>
              <w:left w:type="dxa" w:w="100"/>
              <w:bottom w:type="dxa" w:w="70"/>
              <w:right w:type="dxa" w:w="100"/>
            </w:tcMar>
            <w:vAlign w:val="center"/>
          </w:tcPr>
          <w:p>
            <w:r>
              <w:rPr>
                <w:sz w:val="20"/>
                <w:szCs w:val="20"/>
              </w:rPr>
              <w:t xml:space="preserve">The main city-by-city instock table, with dark-store rows nested under each city</w:t>
            </w:r>
          </w:p>
        </w:tc>
        <w:tc>
          <w:tcPr>
            <w:tcW w:type="dxa" w:w="2500"/>
            <w:shd w:fill="F2F6F6" w:val="clear"/>
            <w:tcMar>
              <w:top w:type="dxa" w:w="70"/>
              <w:left w:type="dxa" w:w="100"/>
              <w:bottom w:type="dxa" w:w="70"/>
              <w:right w:type="dxa" w:w="100"/>
            </w:tcMar>
            <w:vAlign w:val="center"/>
          </w:tcPr>
          <w:p>
            <w:r>
              <w:rPr>
                <w:sz w:val="20"/>
                <w:szCs w:val="20"/>
              </w:rPr>
              <w:t xml:space="preserve">GET /api/v1/instock/cities</w:t>
            </w:r>
          </w:p>
        </w:tc>
      </w:tr>
      <w:tr>
        <w:tc>
          <w:tcPr>
            <w:tcW w:type="dxa" w:w="500"/>
            <w:shd w:fill="FFFFFF" w:val="clear"/>
            <w:tcMar>
              <w:top w:type="dxa" w:w="70"/>
              <w:left w:type="dxa" w:w="100"/>
              <w:bottom w:type="dxa" w:w="70"/>
              <w:right w:type="dxa" w:w="100"/>
            </w:tcMar>
            <w:vAlign w:val="center"/>
          </w:tcPr>
          <w:p>
            <w:r>
              <w:rPr>
                <w:sz w:val="20"/>
                <w:szCs w:val="20"/>
              </w:rPr>
              <w:t xml:space="preserve">5</w:t>
            </w:r>
          </w:p>
        </w:tc>
        <w:tc>
          <w:tcPr>
            <w:tcW w:type="dxa" w:w="2000"/>
            <w:shd w:fill="FFFFFF" w:val="clear"/>
            <w:tcMar>
              <w:top w:type="dxa" w:w="70"/>
              <w:left w:type="dxa" w:w="100"/>
              <w:bottom w:type="dxa" w:w="70"/>
              <w:right w:type="dxa" w:w="100"/>
            </w:tcMar>
            <w:vAlign w:val="center"/>
          </w:tcPr>
          <w:p>
            <w:r>
              <w:rPr>
                <w:sz w:val="20"/>
                <w:szCs w:val="20"/>
              </w:rPr>
              <w:t xml:space="preserve">citySubPivots</w:t>
            </w:r>
          </w:p>
        </w:tc>
        <w:tc>
          <w:tcPr>
            <w:tcW w:type="dxa" w:w="4350"/>
            <w:shd w:fill="FFFFFF" w:val="clear"/>
            <w:tcMar>
              <w:top w:type="dxa" w:w="70"/>
              <w:left w:type="dxa" w:w="100"/>
              <w:bottom w:type="dxa" w:w="70"/>
              <w:right w:type="dxa" w:w="100"/>
            </w:tcMar>
            <w:vAlign w:val="center"/>
          </w:tcPr>
          <w:p>
            <w:r>
              <w:rPr>
                <w:sz w:val="20"/>
                <w:szCs w:val="20"/>
              </w:rPr>
              <w:t xml:space="preserve">The breakdown rows shown when a user switches the city table's “view filter” (e.g. by brand, category, sourcing hub)</w:t>
            </w:r>
          </w:p>
        </w:tc>
        <w:tc>
          <w:tcPr>
            <w:tcW w:type="dxa" w:w="2500"/>
            <w:shd w:fill="FFFFFF" w:val="clear"/>
            <w:tcMar>
              <w:top w:type="dxa" w:w="70"/>
              <w:left w:type="dxa" w:w="100"/>
              <w:bottom w:type="dxa" w:w="70"/>
              <w:right w:type="dxa" w:w="100"/>
            </w:tcMar>
            <w:vAlign w:val="center"/>
          </w:tcPr>
          <w:p>
            <w:r>
              <w:rPr>
                <w:sz w:val="20"/>
                <w:szCs w:val="20"/>
              </w:rPr>
              <w:t xml:space="preserve">GET /api/v1/instock/cities/{cityCode}/sub-pivots</w:t>
            </w:r>
          </w:p>
        </w:tc>
      </w:tr>
    </w:tbl>
    <w:p>
      <w:pPr>
        <w:spacing w:after="120"/>
      </w:pPr>
      <w:r>
        <w:t xml:space="preserve"/>
      </w:r>
    </w:p>
    <w:p>
      <w:pPr>
        <w:spacing w:after="120"/>
      </w:pPr>
      <w:r>
        <w:t xml:space="preserve">So “5 APIs” is a fair way to describe it to the team — just clarify they're GraphQL fields on Harbor's shared schema, not standalone REST endpoints of our own.</w:t>
      </w:r>
    </w:p>
    <w:p>
      <w:pPr>
        <w:pStyle w:val="Heading1"/>
        <w:pBdr>
          <w:bottom w:val="single" w:color="0F6B72" w:sz="8" w:space="4"/>
        </w:pBdr>
        <w:spacing w:after="200" w:before="400"/>
      </w:pPr>
      <w:r>
        <w:rPr>
          <w:b/>
          <w:bCs/>
          <w:color w:val="1F3864"/>
        </w:rPr>
        <w:t xml:space="preserve">7. What Was Built — File by File, Commit by Commit</w:t>
      </w:r>
    </w:p>
    <w:p>
      <w:pPr>
        <w:spacing w:after="120"/>
      </w:pPr>
      <w:r>
        <w:t xml:space="preserve">All work happened inside fk-mart-api-orchestrator, on branch instock-monitoring-sdl-vajram, grouped by the 7 real commits on that branch — this matches the actual git history exactly.</w:t>
      </w:r>
    </w:p>
    <w:p>
      <w:pPr>
        <w:pStyle w:val="Heading3"/>
        <w:spacing w:after="80" w:before="200"/>
      </w:pPr>
      <w:r>
        <w:rPr>
          <w:b/>
          <w:bCs/>
          <w:color w:val="333333"/>
        </w:rPr>
        <w:t xml:space="preserve">Commit 1 — SDL + instockKPIs chain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350"/>
        <w:gridCol w:w="4000"/>
      </w:tblGrid>
      <w:tr>
        <w:trPr>
          <w:tblHeader/>
        </w:trPr>
        <w:tc>
          <w:tcPr>
            <w:tcW w:type="dxa" w:w="5350"/>
            <w:shd w:fill="1F3864" w:val="clear"/>
            <w:tcMar>
              <w:top w:type="dxa" w:w="80"/>
              <w:left w:type="dxa" w:w="100"/>
              <w:bottom w:type="dxa" w:w="80"/>
              <w:right w:type="dxa" w:w="100"/>
            </w:tcMar>
            <w:vAlign w:val="center"/>
          </w:tcPr>
          <w:p>
            <w:r>
              <w:rPr>
                <w:b/>
                <w:bCs/>
                <w:color w:val="FFFFFF"/>
                <w:sz w:val="20"/>
                <w:szCs w:val="20"/>
              </w:rPr>
              <w:t xml:space="preserve">Path</w:t>
            </w:r>
          </w:p>
        </w:tc>
        <w:tc>
          <w:tcPr>
            <w:tcW w:type="dxa" w:w="4000"/>
            <w:shd w:fill="1F3864" w:val="clear"/>
            <w:tcMar>
              <w:top w:type="dxa" w:w="80"/>
              <w:left w:type="dxa" w:w="100"/>
              <w:bottom w:type="dxa" w:w="80"/>
              <w:right w:type="dxa" w:w="100"/>
            </w:tcMar>
            <w:vAlign w:val="center"/>
          </w:tcPr>
          <w:p>
            <w:r>
              <w:rPr>
                <w:b/>
                <w:bCs/>
                <w:color w:val="FFFFFF"/>
                <w:sz w:val="20"/>
                <w:szCs w:val="20"/>
              </w:rPr>
              <w:t xml:space="preserve">What</w:t>
            </w:r>
          </w:p>
        </w:tc>
      </w:tr>
      <w:tr>
        <w:tc>
          <w:tcPr>
            <w:tcW w:type="dxa" w:w="5350"/>
            <w:shd w:fill="FFFFFF" w:val="clear"/>
            <w:tcMar>
              <w:top w:type="dxa" w:w="70"/>
              <w:left w:type="dxa" w:w="100"/>
              <w:bottom w:type="dxa" w:w="70"/>
              <w:right w:type="dxa" w:w="100"/>
            </w:tcMar>
            <w:vAlign w:val="center"/>
          </w:tcPr>
          <w:p>
            <w:r>
              <w:rPr>
                <w:rFonts w:ascii="Consolas" w:cs="Consolas" w:eastAsia="Consolas" w:hAnsi="Consolas"/>
                <w:color w:val="8A2BE2"/>
                <w:sz w:val="18"/>
                <w:szCs w:val="18"/>
              </w:rPr>
              <w:t xml:space="preserve">mart-entities/src/main/resources/schema/Replenishment.graphqls</w:t>
            </w:r>
          </w:p>
        </w:tc>
        <w:tc>
          <w:tcPr>
            <w:tcW w:type="dxa" w:w="4000"/>
            <w:shd w:fill="FFFFFF" w:val="clear"/>
            <w:tcMar>
              <w:top w:type="dxa" w:w="70"/>
              <w:left w:type="dxa" w:w="100"/>
              <w:bottom w:type="dxa" w:w="70"/>
              <w:right w:type="dxa" w:w="100"/>
            </w:tcMar>
            <w:vAlign w:val="center"/>
          </w:tcPr>
          <w:p>
            <w:r>
              <w:rPr>
                <w:sz w:val="20"/>
                <w:szCs w:val="20"/>
              </w:rPr>
              <w:t xml:space="preserve">New file — all types/enums/inputs for Instock Monitoring</w:t>
            </w:r>
          </w:p>
        </w:tc>
      </w:tr>
      <w:tr>
        <w:tc>
          <w:tcPr>
            <w:tcW w:type="dxa" w:w="5350"/>
            <w:shd w:fill="F2F6F6" w:val="clear"/>
            <w:tcMar>
              <w:top w:type="dxa" w:w="70"/>
              <w:left w:type="dxa" w:w="100"/>
              <w:bottom w:type="dxa" w:w="70"/>
              <w:right w:type="dxa" w:w="100"/>
            </w:tcMar>
            <w:vAlign w:val="center"/>
          </w:tcPr>
          <w:p>
            <w:r>
              <w:rPr>
                <w:rFonts w:ascii="Consolas" w:cs="Consolas" w:eastAsia="Consolas" w:hAnsi="Consolas"/>
                <w:color w:val="8A2BE2"/>
                <w:sz w:val="18"/>
                <w:szCs w:val="18"/>
              </w:rPr>
              <w:t xml:space="preserve">mart-entities/src/main/resources/schema/query.graphqls</w:t>
            </w:r>
          </w:p>
        </w:tc>
        <w:tc>
          <w:tcPr>
            <w:tcW w:type="dxa" w:w="4000"/>
            <w:shd w:fill="F2F6F6" w:val="clear"/>
            <w:tcMar>
              <w:top w:type="dxa" w:w="70"/>
              <w:left w:type="dxa" w:w="100"/>
              <w:bottom w:type="dxa" w:w="70"/>
              <w:right w:type="dxa" w:w="100"/>
            </w:tcMar>
            <w:vAlign w:val="center"/>
          </w:tcPr>
          <w:p>
            <w:r>
              <w:rPr>
                <w:sz w:val="20"/>
                <w:szCs w:val="20"/>
              </w:rPr>
              <w:t xml:space="preserve">Modified — added the Query/Mutation field declarations</w:t>
            </w:r>
          </w:p>
        </w:tc>
      </w:tr>
      <w:tr>
        <w:tc>
          <w:tcPr>
            <w:tcW w:type="dxa" w:w="5350"/>
            <w:shd w:fill="FFFFFF" w:val="clear"/>
            <w:tcMar>
              <w:top w:type="dxa" w:w="70"/>
              <w:left w:type="dxa" w:w="100"/>
              <w:bottom w:type="dxa" w:w="70"/>
              <w:right w:type="dxa" w:w="100"/>
            </w:tcMar>
            <w:vAlign w:val="center"/>
          </w:tcPr>
          <w:p>
            <w:r>
              <w:rPr>
                <w:rFonts w:ascii="Consolas" w:cs="Consolas" w:eastAsia="Consolas" w:hAnsi="Consolas"/>
                <w:color w:val="8A2BE2"/>
                <w:sz w:val="18"/>
                <w:szCs w:val="18"/>
              </w:rPr>
              <w:t xml:space="preserve">mart-service-clients/.../svc/clients/meridian/MeridianServiceNonBlockingClient.java</w:t>
            </w:r>
          </w:p>
        </w:tc>
        <w:tc>
          <w:tcPr>
            <w:tcW w:type="dxa" w:w="4000"/>
            <w:shd w:fill="FFFFFF" w:val="clear"/>
            <w:tcMar>
              <w:top w:type="dxa" w:w="70"/>
              <w:left w:type="dxa" w:w="100"/>
              <w:bottom w:type="dxa" w:w="70"/>
              <w:right w:type="dxa" w:w="100"/>
            </w:tcMar>
            <w:vAlign w:val="center"/>
          </w:tcPr>
          <w:p>
            <w:r>
              <w:rPr>
                <w:sz w:val="20"/>
                <w:szCs w:val="20"/>
              </w:rPr>
              <w:t xml:space="preserve">New — REST client, instockKpi() method</w:t>
            </w:r>
          </w:p>
        </w:tc>
      </w:tr>
      <w:tr>
        <w:tc>
          <w:tcPr>
            <w:tcW w:type="dxa" w:w="5350"/>
            <w:shd w:fill="F2F6F6" w:val="clear"/>
            <w:tcMar>
              <w:top w:type="dxa" w:w="70"/>
              <w:left w:type="dxa" w:w="100"/>
              <w:bottom w:type="dxa" w:w="70"/>
              <w:right w:type="dxa" w:w="100"/>
            </w:tcMar>
            <w:vAlign w:val="center"/>
          </w:tcPr>
          <w:p>
            <w:r>
              <w:rPr>
                <w:rFonts w:ascii="Consolas" w:cs="Consolas" w:eastAsia="Consolas" w:hAnsi="Consolas"/>
                <w:color w:val="8A2BE2"/>
                <w:sz w:val="18"/>
                <w:szCs w:val="18"/>
              </w:rPr>
              <w:t xml:space="preserve">mart-service-clients/.../model/InstockKpiResponse.java</w:t>
            </w:r>
          </w:p>
        </w:tc>
        <w:tc>
          <w:tcPr>
            <w:tcW w:type="dxa" w:w="4000"/>
            <w:shd w:fill="F2F6F6" w:val="clear"/>
            <w:tcMar>
              <w:top w:type="dxa" w:w="70"/>
              <w:left w:type="dxa" w:w="100"/>
              <w:bottom w:type="dxa" w:w="70"/>
              <w:right w:type="dxa" w:w="100"/>
            </w:tcMar>
            <w:vAlign w:val="center"/>
          </w:tcPr>
          <w:p>
            <w:r>
              <w:rPr>
                <w:sz w:val="20"/>
                <w:szCs w:val="20"/>
              </w:rPr>
              <w:t xml:space="preserve">New — REST response DTO</w:t>
            </w:r>
          </w:p>
        </w:tc>
      </w:tr>
      <w:tr>
        <w:tc>
          <w:tcPr>
            <w:tcW w:type="dxa" w:w="5350"/>
            <w:shd w:fill="FFFFFF" w:val="clear"/>
            <w:tcMar>
              <w:top w:type="dxa" w:w="70"/>
              <w:left w:type="dxa" w:w="100"/>
              <w:bottom w:type="dxa" w:w="70"/>
              <w:right w:type="dxa" w:w="100"/>
            </w:tcMar>
            <w:vAlign w:val="center"/>
          </w:tcPr>
          <w:p>
            <w:r>
              <w:rPr>
                <w:rFonts w:ascii="Consolas" w:cs="Consolas" w:eastAsia="Consolas" w:hAnsi="Consolas"/>
                <w:color w:val="8A2BE2"/>
                <w:sz w:val="18"/>
                <w:szCs w:val="18"/>
              </w:rPr>
              <w:t xml:space="preserve">mart-service-clients/.../model/InstockMetricDelta.java, InstockThresholdMetricDelta.java</w:t>
            </w:r>
          </w:p>
        </w:tc>
        <w:tc>
          <w:tcPr>
            <w:tcW w:type="dxa" w:w="4000"/>
            <w:shd w:fill="FFFFFF" w:val="clear"/>
            <w:tcMar>
              <w:top w:type="dxa" w:w="70"/>
              <w:left w:type="dxa" w:w="100"/>
              <w:bottom w:type="dxa" w:w="70"/>
              <w:right w:type="dxa" w:w="100"/>
            </w:tcMar>
            <w:vAlign w:val="center"/>
          </w:tcPr>
          <w:p>
            <w:r>
              <w:rPr>
                <w:sz w:val="20"/>
                <w:szCs w:val="20"/>
              </w:rPr>
              <w:t xml:space="preserve">New — sub-DTOs</w:t>
            </w:r>
          </w:p>
        </w:tc>
      </w:tr>
      <w:tr>
        <w:tc>
          <w:tcPr>
            <w:tcW w:type="dxa" w:w="5350"/>
            <w:shd w:fill="F2F6F6" w:val="clear"/>
            <w:tcMar>
              <w:top w:type="dxa" w:w="70"/>
              <w:left w:type="dxa" w:w="100"/>
              <w:bottom w:type="dxa" w:w="70"/>
              <w:right w:type="dxa" w:w="100"/>
            </w:tcMar>
            <w:vAlign w:val="center"/>
          </w:tcPr>
          <w:p>
            <w:r>
              <w:rPr>
                <w:rFonts w:ascii="Consolas" w:cs="Consolas" w:eastAsia="Consolas" w:hAnsi="Consolas"/>
                <w:color w:val="8A2BE2"/>
                <w:sz w:val="18"/>
                <w:szCs w:val="18"/>
              </w:rPr>
              <w:t xml:space="preserve">mart-service-clients/.../serviceSpecs/serviceDefinitionSpecs/MeridianServiceDefinitionSpec.yaml</w:t>
            </w:r>
          </w:p>
        </w:tc>
        <w:tc>
          <w:tcPr>
            <w:tcW w:type="dxa" w:w="4000"/>
            <w:shd w:fill="F2F6F6" w:val="clear"/>
            <w:tcMar>
              <w:top w:type="dxa" w:w="70"/>
              <w:left w:type="dxa" w:w="100"/>
              <w:bottom w:type="dxa" w:w="70"/>
              <w:right w:type="dxa" w:w="100"/>
            </w:tcMar>
            <w:vAlign w:val="center"/>
          </w:tcPr>
          <w:p>
            <w:r>
              <w:rPr>
                <w:sz w:val="20"/>
                <w:szCs w:val="20"/>
              </w:rPr>
              <w:t xml:space="preserve">New — REST endpoint config</w:t>
            </w:r>
          </w:p>
        </w:tc>
      </w:tr>
      <w:tr>
        <w:tc>
          <w:tcPr>
            <w:tcW w:type="dxa" w:w="5350"/>
            <w:shd w:fill="FFFFFF" w:val="clear"/>
            <w:tcMar>
              <w:top w:type="dxa" w:w="70"/>
              <w:left w:type="dxa" w:w="100"/>
              <w:bottom w:type="dxa" w:w="70"/>
              <w:right w:type="dxa" w:w="100"/>
            </w:tcMar>
            <w:vAlign w:val="center"/>
          </w:tcPr>
          <w:p>
            <w:r>
              <w:rPr>
                <w:rFonts w:ascii="Consolas" w:cs="Consolas" w:eastAsia="Consolas" w:hAnsi="Consolas"/>
                <w:color w:val="8A2BE2"/>
                <w:sz w:val="18"/>
                <w:szCs w:val="18"/>
              </w:rPr>
              <w:t xml:space="preserve">mart-service-clients/.../serviceSpecs/serviceExecutionSpecs/MeridianServiceExecutionSpec.yaml</w:t>
            </w:r>
          </w:p>
        </w:tc>
        <w:tc>
          <w:tcPr>
            <w:tcW w:type="dxa" w:w="4000"/>
            <w:shd w:fill="FFFFFF" w:val="clear"/>
            <w:tcMar>
              <w:top w:type="dxa" w:w="70"/>
              <w:left w:type="dxa" w:w="100"/>
              <w:bottom w:type="dxa" w:w="70"/>
              <w:right w:type="dxa" w:w="100"/>
            </w:tcMar>
            <w:vAlign w:val="center"/>
          </w:tcPr>
          <w:p>
            <w:r>
              <w:rPr>
                <w:sz w:val="20"/>
                <w:szCs w:val="20"/>
              </w:rPr>
              <w:t xml:space="preserve">New — timeout/circuit-breaker config</w:t>
            </w:r>
          </w:p>
        </w:tc>
      </w:tr>
      <w:tr>
        <w:tc>
          <w:tcPr>
            <w:tcW w:type="dxa" w:w="5350"/>
            <w:shd w:fill="F2F6F6" w:val="clear"/>
            <w:tcMar>
              <w:top w:type="dxa" w:w="70"/>
              <w:left w:type="dxa" w:w="100"/>
              <w:bottom w:type="dxa" w:w="70"/>
              <w:right w:type="dxa" w:w="100"/>
            </w:tcMar>
            <w:vAlign w:val="center"/>
          </w:tcPr>
          <w:p>
            <w:r>
              <w:rPr>
                <w:rFonts w:ascii="Consolas" w:cs="Consolas" w:eastAsia="Consolas" w:hAnsi="Consolas"/>
                <w:color w:val="8A2BE2"/>
                <w:sz w:val="18"/>
                <w:szCs w:val="18"/>
              </w:rPr>
              <w:t xml:space="preserve">mart-entities/.../entity/InstockKPIs.java, MetricWithDelta.java, ThresholdMetric.java</w:t>
            </w:r>
          </w:p>
        </w:tc>
        <w:tc>
          <w:tcPr>
            <w:tcW w:type="dxa" w:w="4000"/>
            <w:shd w:fill="F2F6F6" w:val="clear"/>
            <w:tcMar>
              <w:top w:type="dxa" w:w="70"/>
              <w:left w:type="dxa" w:w="100"/>
              <w:bottom w:type="dxa" w:w="70"/>
              <w:right w:type="dxa" w:w="100"/>
            </w:tcMar>
            <w:vAlign w:val="center"/>
          </w:tcPr>
          <w:p>
            <w:r>
              <w:rPr>
                <w:sz w:val="20"/>
                <w:szCs w:val="20"/>
              </w:rPr>
              <w:t xml:space="preserve">New — GraphQL entities</w:t>
            </w:r>
          </w:p>
        </w:tc>
      </w:tr>
      <w:tr>
        <w:tc>
          <w:tcPr>
            <w:tcW w:type="dxa" w:w="5350"/>
            <w:shd w:fill="FFFFFF" w:val="clear"/>
            <w:tcMar>
              <w:top w:type="dxa" w:w="70"/>
              <w:left w:type="dxa" w:w="100"/>
              <w:bottom w:type="dxa" w:w="70"/>
              <w:right w:type="dxa" w:w="100"/>
            </w:tcMar>
            <w:vAlign w:val="center"/>
          </w:tcPr>
          <w:p>
            <w:r>
              <w:rPr>
                <w:rFonts w:ascii="Consolas" w:cs="Consolas" w:eastAsia="Consolas" w:hAnsi="Consolas"/>
                <w:color w:val="8A2BE2"/>
                <w:sz w:val="18"/>
                <w:szCs w:val="18"/>
              </w:rPr>
              <w:t xml:space="preserve">mart-entities/.../model/input/InstockFilters.java</w:t>
            </w:r>
          </w:p>
        </w:tc>
        <w:tc>
          <w:tcPr>
            <w:tcW w:type="dxa" w:w="4000"/>
            <w:shd w:fill="FFFFFF" w:val="clear"/>
            <w:tcMar>
              <w:top w:type="dxa" w:w="70"/>
              <w:left w:type="dxa" w:w="100"/>
              <w:bottom w:type="dxa" w:w="70"/>
              <w:right w:type="dxa" w:w="100"/>
            </w:tcMar>
            <w:vAlign w:val="center"/>
          </w:tcPr>
          <w:p>
            <w:r>
              <w:rPr>
                <w:sz w:val="20"/>
                <w:szCs w:val="20"/>
              </w:rPr>
              <w:t xml:space="preserve">New — GraphQL input POJO</w:t>
            </w:r>
          </w:p>
        </w:tc>
      </w:tr>
      <w:tr>
        <w:tc>
          <w:tcPr>
            <w:tcW w:type="dxa" w:w="5350"/>
            <w:shd w:fill="F2F6F6" w:val="clear"/>
            <w:tcMar>
              <w:top w:type="dxa" w:w="70"/>
              <w:left w:type="dxa" w:w="100"/>
              <w:bottom w:type="dxa" w:w="70"/>
              <w:right w:type="dxa" w:w="100"/>
            </w:tcMar>
            <w:vAlign w:val="center"/>
          </w:tcPr>
          <w:p>
            <w:r>
              <w:rPr>
                <w:rFonts w:ascii="Consolas" w:cs="Consolas" w:eastAsia="Consolas" w:hAnsi="Consolas"/>
                <w:color w:val="8A2BE2"/>
                <w:sz w:val="18"/>
                <w:szCs w:val="18"/>
              </w:rPr>
              <w:t xml:space="preserve">mart-execution-entities/.../vajram/instock/io/GetInstockKpisFromService.java</w:t>
            </w:r>
          </w:p>
        </w:tc>
        <w:tc>
          <w:tcPr>
            <w:tcW w:type="dxa" w:w="4000"/>
            <w:shd w:fill="F2F6F6" w:val="clear"/>
            <w:tcMar>
              <w:top w:type="dxa" w:w="70"/>
              <w:left w:type="dxa" w:w="100"/>
              <w:bottom w:type="dxa" w:w="70"/>
              <w:right w:type="dxa" w:w="100"/>
            </w:tcMar>
            <w:vAlign w:val="center"/>
          </w:tcPr>
          <w:p>
            <w:r>
              <w:rPr>
                <w:sz w:val="20"/>
                <w:szCs w:val="20"/>
              </w:rPr>
              <w:t xml:space="preserve">New — IO Vajram</w:t>
            </w:r>
          </w:p>
        </w:tc>
      </w:tr>
      <w:tr>
        <w:tc>
          <w:tcPr>
            <w:tcW w:type="dxa" w:w="5350"/>
            <w:shd w:fill="FFFFFF" w:val="clear"/>
            <w:tcMar>
              <w:top w:type="dxa" w:w="70"/>
              <w:left w:type="dxa" w:w="100"/>
              <w:bottom w:type="dxa" w:w="70"/>
              <w:right w:type="dxa" w:w="100"/>
            </w:tcMar>
            <w:vAlign w:val="center"/>
          </w:tcPr>
          <w:p>
            <w:r>
              <w:rPr>
                <w:rFonts w:ascii="Consolas" w:cs="Consolas" w:eastAsia="Consolas" w:hAnsi="Consolas"/>
                <w:color w:val="8A2BE2"/>
                <w:sz w:val="18"/>
                <w:szCs w:val="18"/>
              </w:rPr>
              <w:t xml:space="preserve">mart-execution-entities/.../vajram/instock/compute/GetInstockKpis.java</w:t>
            </w:r>
          </w:p>
        </w:tc>
        <w:tc>
          <w:tcPr>
            <w:tcW w:type="dxa" w:w="4000"/>
            <w:shd w:fill="FFFFFF" w:val="clear"/>
            <w:tcMar>
              <w:top w:type="dxa" w:w="70"/>
              <w:left w:type="dxa" w:w="100"/>
              <w:bottom w:type="dxa" w:w="70"/>
              <w:right w:type="dxa" w:w="100"/>
            </w:tcMar>
            <w:vAlign w:val="center"/>
          </w:tcPr>
          <w:p>
            <w:r>
              <w:rPr>
                <w:sz w:val="20"/>
                <w:szCs w:val="20"/>
              </w:rPr>
              <w:t xml:space="preserve">New — Compute Vajram</w:t>
            </w:r>
          </w:p>
        </w:tc>
      </w:tr>
      <w:tr>
        <w:tc>
          <w:tcPr>
            <w:tcW w:type="dxa" w:w="5350"/>
            <w:shd w:fill="F2F6F6" w:val="clear"/>
            <w:tcMar>
              <w:top w:type="dxa" w:w="70"/>
              <w:left w:type="dxa" w:w="100"/>
              <w:bottom w:type="dxa" w:w="70"/>
              <w:right w:type="dxa" w:w="100"/>
            </w:tcMar>
            <w:vAlign w:val="center"/>
          </w:tcPr>
          <w:p>
            <w:r>
              <w:rPr>
                <w:rFonts w:ascii="Consolas" w:cs="Consolas" w:eastAsia="Consolas" w:hAnsi="Consolas"/>
                <w:color w:val="8A2BE2"/>
                <w:sz w:val="18"/>
                <w:szCs w:val="18"/>
              </w:rPr>
              <w:t xml:space="preserve">mart-execution-entities/.../vajram/aggregators/InstockKPIsGraphQLAggregator.java</w:t>
            </w:r>
          </w:p>
        </w:tc>
        <w:tc>
          <w:tcPr>
            <w:tcW w:type="dxa" w:w="4000"/>
            <w:shd w:fill="F2F6F6" w:val="clear"/>
            <w:tcMar>
              <w:top w:type="dxa" w:w="70"/>
              <w:left w:type="dxa" w:w="100"/>
              <w:bottom w:type="dxa" w:w="70"/>
              <w:right w:type="dxa" w:w="100"/>
            </w:tcMar>
            <w:vAlign w:val="center"/>
          </w:tcPr>
          <w:p>
            <w:r>
              <w:rPr>
                <w:sz w:val="20"/>
                <w:szCs w:val="20"/>
              </w:rPr>
              <w:t xml:space="preserve">New — Aggregator</w:t>
            </w:r>
          </w:p>
        </w:tc>
      </w:tr>
    </w:tbl>
    <w:p>
      <w:pPr>
        <w:spacing w:after="120"/>
      </w:pPr>
      <w:r>
        <w:t xml:space="preserve"/>
      </w:r>
    </w:p>
    <w:p>
      <w:pPr>
        <w:pStyle w:val="Heading3"/>
        <w:spacing w:after="80" w:before="200"/>
      </w:pPr>
      <w:r>
        <w:rPr>
          <w:b/>
          <w:bCs/>
          <w:color w:val="333333"/>
        </w:rPr>
        <w:t xml:space="preserve">Commit 2 — worstFsns chain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350"/>
        <w:gridCol w:w="4000"/>
      </w:tblGrid>
      <w:tr>
        <w:trPr>
          <w:tblHeader/>
        </w:trPr>
        <w:tc>
          <w:tcPr>
            <w:tcW w:type="dxa" w:w="5350"/>
            <w:shd w:fill="1F3864" w:val="clear"/>
            <w:tcMar>
              <w:top w:type="dxa" w:w="80"/>
              <w:left w:type="dxa" w:w="100"/>
              <w:bottom w:type="dxa" w:w="80"/>
              <w:right w:type="dxa" w:w="100"/>
            </w:tcMar>
            <w:vAlign w:val="center"/>
          </w:tcPr>
          <w:p>
            <w:r>
              <w:rPr>
                <w:b/>
                <w:bCs/>
                <w:color w:val="FFFFFF"/>
                <w:sz w:val="20"/>
                <w:szCs w:val="20"/>
              </w:rPr>
              <w:t xml:space="preserve">Path</w:t>
            </w:r>
          </w:p>
        </w:tc>
        <w:tc>
          <w:tcPr>
            <w:tcW w:type="dxa" w:w="4000"/>
            <w:shd w:fill="1F3864" w:val="clear"/>
            <w:tcMar>
              <w:top w:type="dxa" w:w="80"/>
              <w:left w:type="dxa" w:w="100"/>
              <w:bottom w:type="dxa" w:w="80"/>
              <w:right w:type="dxa" w:w="100"/>
            </w:tcMar>
            <w:vAlign w:val="center"/>
          </w:tcPr>
          <w:p>
            <w:r>
              <w:rPr>
                <w:b/>
                <w:bCs/>
                <w:color w:val="FFFFFF"/>
                <w:sz w:val="20"/>
                <w:szCs w:val="20"/>
              </w:rPr>
              <w:t xml:space="preserve">What</w:t>
            </w:r>
          </w:p>
        </w:tc>
      </w:tr>
      <w:tr>
        <w:tc>
          <w:tcPr>
            <w:tcW w:type="dxa" w:w="5350"/>
            <w:shd w:fill="FFFFFF" w:val="clear"/>
            <w:tcMar>
              <w:top w:type="dxa" w:w="70"/>
              <w:left w:type="dxa" w:w="100"/>
              <w:bottom w:type="dxa" w:w="70"/>
              <w:right w:type="dxa" w:w="100"/>
            </w:tcMar>
            <w:vAlign w:val="center"/>
          </w:tcPr>
          <w:p>
            <w:r>
              <w:rPr>
                <w:rFonts w:ascii="Consolas" w:cs="Consolas" w:eastAsia="Consolas" w:hAnsi="Consolas"/>
                <w:color w:val="8A2BE2"/>
                <w:sz w:val="18"/>
                <w:szCs w:val="18"/>
              </w:rPr>
              <w:t xml:space="preserve">mart-service-clients/.../model/WorstFsnRowDto.java, WorstFsnsResponse.java</w:t>
            </w:r>
          </w:p>
        </w:tc>
        <w:tc>
          <w:tcPr>
            <w:tcW w:type="dxa" w:w="4000"/>
            <w:shd w:fill="FFFFFF" w:val="clear"/>
            <w:tcMar>
              <w:top w:type="dxa" w:w="70"/>
              <w:left w:type="dxa" w:w="100"/>
              <w:bottom w:type="dxa" w:w="70"/>
              <w:right w:type="dxa" w:w="100"/>
            </w:tcMar>
            <w:vAlign w:val="center"/>
          </w:tcPr>
          <w:p>
            <w:r>
              <w:rPr>
                <w:sz w:val="20"/>
                <w:szCs w:val="20"/>
              </w:rPr>
              <w:t xml:space="preserve">New DTOs</w:t>
            </w:r>
          </w:p>
        </w:tc>
      </w:tr>
      <w:tr>
        <w:tc>
          <w:tcPr>
            <w:tcW w:type="dxa" w:w="5350"/>
            <w:shd w:fill="F2F6F6" w:val="clear"/>
            <w:tcMar>
              <w:top w:type="dxa" w:w="70"/>
              <w:left w:type="dxa" w:w="100"/>
              <w:bottom w:type="dxa" w:w="70"/>
              <w:right w:type="dxa" w:w="100"/>
            </w:tcMar>
            <w:vAlign w:val="center"/>
          </w:tcPr>
          <w:p>
            <w:r>
              <w:rPr>
                <w:rFonts w:ascii="Consolas" w:cs="Consolas" w:eastAsia="Consolas" w:hAnsi="Consolas"/>
                <w:color w:val="8A2BE2"/>
                <w:sz w:val="18"/>
                <w:szCs w:val="18"/>
              </w:rPr>
              <w:t xml:space="preserve">MeridianServiceNonBlockingClient.java</w:t>
            </w:r>
          </w:p>
        </w:tc>
        <w:tc>
          <w:tcPr>
            <w:tcW w:type="dxa" w:w="4000"/>
            <w:shd w:fill="F2F6F6" w:val="clear"/>
            <w:tcMar>
              <w:top w:type="dxa" w:w="70"/>
              <w:left w:type="dxa" w:w="100"/>
              <w:bottom w:type="dxa" w:w="70"/>
              <w:right w:type="dxa" w:w="100"/>
            </w:tcMar>
            <w:vAlign w:val="center"/>
          </w:tcPr>
          <w:p>
            <w:r>
              <w:rPr>
                <w:sz w:val="20"/>
                <w:szCs w:val="20"/>
              </w:rPr>
              <w:t xml:space="preserve">Modified — added worstFsns(), extracted shared uberFilterQueryParams() helper</w:t>
            </w:r>
          </w:p>
        </w:tc>
      </w:tr>
      <w:tr>
        <w:tc>
          <w:tcPr>
            <w:tcW w:type="dxa" w:w="5350"/>
            <w:shd w:fill="FFFFFF" w:val="clear"/>
            <w:tcMar>
              <w:top w:type="dxa" w:w="70"/>
              <w:left w:type="dxa" w:w="100"/>
              <w:bottom w:type="dxa" w:w="70"/>
              <w:right w:type="dxa" w:w="100"/>
            </w:tcMar>
            <w:vAlign w:val="center"/>
          </w:tcPr>
          <w:p>
            <w:r>
              <w:rPr>
                <w:sz w:val="20"/>
                <w:szCs w:val="20"/>
              </w:rPr>
              <w:t xml:space="preserve">Both YAML spec files</w:t>
            </w:r>
          </w:p>
        </w:tc>
        <w:tc>
          <w:tcPr>
            <w:tcW w:type="dxa" w:w="4000"/>
            <w:shd w:fill="FFFFFF" w:val="clear"/>
            <w:tcMar>
              <w:top w:type="dxa" w:w="70"/>
              <w:left w:type="dxa" w:w="100"/>
              <w:bottom w:type="dxa" w:w="70"/>
              <w:right w:type="dxa" w:w="100"/>
            </w:tcMar>
            <w:vAlign w:val="center"/>
          </w:tcPr>
          <w:p>
            <w:r>
              <w:rPr>
                <w:sz w:val="20"/>
                <w:szCs w:val="20"/>
              </w:rPr>
              <w:t xml:space="preserve">Modified — added worstFsns entries</w:t>
            </w:r>
          </w:p>
        </w:tc>
      </w:tr>
      <w:tr>
        <w:tc>
          <w:tcPr>
            <w:tcW w:type="dxa" w:w="5350"/>
            <w:shd w:fill="F2F6F6" w:val="clear"/>
            <w:tcMar>
              <w:top w:type="dxa" w:w="70"/>
              <w:left w:type="dxa" w:w="100"/>
              <w:bottom w:type="dxa" w:w="70"/>
              <w:right w:type="dxa" w:w="100"/>
            </w:tcMar>
            <w:vAlign w:val="center"/>
          </w:tcPr>
          <w:p>
            <w:r>
              <w:rPr>
                <w:rFonts w:ascii="Consolas" w:cs="Consolas" w:eastAsia="Consolas" w:hAnsi="Consolas"/>
                <w:color w:val="8A2BE2"/>
                <w:sz w:val="18"/>
                <w:szCs w:val="18"/>
              </w:rPr>
              <w:t xml:space="preserve">mart-entities/.../entity/WorstFsnRow.java, WorstFsns.java</w:t>
            </w:r>
          </w:p>
        </w:tc>
        <w:tc>
          <w:tcPr>
            <w:tcW w:type="dxa" w:w="4000"/>
            <w:shd w:fill="F2F6F6" w:val="clear"/>
            <w:tcMar>
              <w:top w:type="dxa" w:w="70"/>
              <w:left w:type="dxa" w:w="100"/>
              <w:bottom w:type="dxa" w:w="70"/>
              <w:right w:type="dxa" w:w="100"/>
            </w:tcMar>
            <w:vAlign w:val="center"/>
          </w:tcPr>
          <w:p>
            <w:r>
              <w:rPr>
                <w:sz w:val="20"/>
                <w:szCs w:val="20"/>
              </w:rPr>
              <w:t xml:space="preserve">New entities</w:t>
            </w:r>
          </w:p>
        </w:tc>
      </w:tr>
      <w:tr>
        <w:tc>
          <w:tcPr>
            <w:tcW w:type="dxa" w:w="5350"/>
            <w:shd w:fill="FFFFFF" w:val="clear"/>
            <w:tcMar>
              <w:top w:type="dxa" w:w="70"/>
              <w:left w:type="dxa" w:w="100"/>
              <w:bottom w:type="dxa" w:w="70"/>
              <w:right w:type="dxa" w:w="100"/>
            </w:tcMar>
            <w:vAlign w:val="center"/>
          </w:tcPr>
          <w:p>
            <w:r>
              <w:rPr>
                <w:rFonts w:ascii="Consolas" w:cs="Consolas" w:eastAsia="Consolas" w:hAnsi="Consolas"/>
                <w:color w:val="8A2BE2"/>
                <w:sz w:val="18"/>
                <w:szCs w:val="18"/>
              </w:rPr>
              <w:t xml:space="preserve">vajram/instock/io/GetWorstFsnsFromService.java</w:t>
            </w:r>
          </w:p>
        </w:tc>
        <w:tc>
          <w:tcPr>
            <w:tcW w:type="dxa" w:w="4000"/>
            <w:shd w:fill="FFFFFF" w:val="clear"/>
            <w:tcMar>
              <w:top w:type="dxa" w:w="70"/>
              <w:left w:type="dxa" w:w="100"/>
              <w:bottom w:type="dxa" w:w="70"/>
              <w:right w:type="dxa" w:w="100"/>
            </w:tcMar>
            <w:vAlign w:val="center"/>
          </w:tcPr>
          <w:p>
            <w:r>
              <w:rPr>
                <w:sz w:val="20"/>
                <w:szCs w:val="20"/>
              </w:rPr>
              <w:t xml:space="preserve">New IO Vajram</w:t>
            </w:r>
          </w:p>
        </w:tc>
      </w:tr>
      <w:tr>
        <w:tc>
          <w:tcPr>
            <w:tcW w:type="dxa" w:w="5350"/>
            <w:shd w:fill="F2F6F6" w:val="clear"/>
            <w:tcMar>
              <w:top w:type="dxa" w:w="70"/>
              <w:left w:type="dxa" w:w="100"/>
              <w:bottom w:type="dxa" w:w="70"/>
              <w:right w:type="dxa" w:w="100"/>
            </w:tcMar>
            <w:vAlign w:val="center"/>
          </w:tcPr>
          <w:p>
            <w:r>
              <w:rPr>
                <w:rFonts w:ascii="Consolas" w:cs="Consolas" w:eastAsia="Consolas" w:hAnsi="Consolas"/>
                <w:color w:val="8A2BE2"/>
                <w:sz w:val="18"/>
                <w:szCs w:val="18"/>
              </w:rPr>
              <w:t xml:space="preserve">vajram/instock/compute/GetWorstFsns.java</w:t>
            </w:r>
          </w:p>
        </w:tc>
        <w:tc>
          <w:tcPr>
            <w:tcW w:type="dxa" w:w="4000"/>
            <w:shd w:fill="F2F6F6" w:val="clear"/>
            <w:tcMar>
              <w:top w:type="dxa" w:w="70"/>
              <w:left w:type="dxa" w:w="100"/>
              <w:bottom w:type="dxa" w:w="70"/>
              <w:right w:type="dxa" w:w="100"/>
            </w:tcMar>
            <w:vAlign w:val="center"/>
          </w:tcPr>
          <w:p>
            <w:r>
              <w:rPr>
                <w:sz w:val="20"/>
                <w:szCs w:val="20"/>
              </w:rPr>
              <w:t xml:space="preserve">New Compute Vajram</w:t>
            </w:r>
          </w:p>
        </w:tc>
      </w:tr>
      <w:tr>
        <w:tc>
          <w:tcPr>
            <w:tcW w:type="dxa" w:w="5350"/>
            <w:shd w:fill="FFFFFF" w:val="clear"/>
            <w:tcMar>
              <w:top w:type="dxa" w:w="70"/>
              <w:left w:type="dxa" w:w="100"/>
              <w:bottom w:type="dxa" w:w="70"/>
              <w:right w:type="dxa" w:w="100"/>
            </w:tcMar>
            <w:vAlign w:val="center"/>
          </w:tcPr>
          <w:p>
            <w:r>
              <w:rPr>
                <w:rFonts w:ascii="Consolas" w:cs="Consolas" w:eastAsia="Consolas" w:hAnsi="Consolas"/>
                <w:color w:val="8A2BE2"/>
                <w:sz w:val="18"/>
                <w:szCs w:val="18"/>
              </w:rPr>
              <w:t xml:space="preserve">vajram/aggregators/WorstFsnsGraphQLAggregator.java</w:t>
            </w:r>
          </w:p>
        </w:tc>
        <w:tc>
          <w:tcPr>
            <w:tcW w:type="dxa" w:w="4000"/>
            <w:shd w:fill="FFFFFF" w:val="clear"/>
            <w:tcMar>
              <w:top w:type="dxa" w:w="70"/>
              <w:left w:type="dxa" w:w="100"/>
              <w:bottom w:type="dxa" w:w="70"/>
              <w:right w:type="dxa" w:w="100"/>
            </w:tcMar>
            <w:vAlign w:val="center"/>
          </w:tcPr>
          <w:p>
            <w:r>
              <w:rPr>
                <w:sz w:val="20"/>
                <w:szCs w:val="20"/>
              </w:rPr>
              <w:t xml:space="preserve">New Aggregator</w:t>
            </w:r>
          </w:p>
        </w:tc>
      </w:tr>
    </w:tbl>
    <w:p>
      <w:pPr>
        <w:spacing w:after="120"/>
      </w:pPr>
      <w:r>
        <w:t xml:space="preserve"/>
      </w:r>
    </w:p>
    <w:p>
      <w:pPr>
        <w:pStyle w:val="Heading3"/>
        <w:spacing w:after="80" w:before="200"/>
      </w:pPr>
      <w:r>
        <w:rPr>
          <w:b/>
          <w:bCs/>
          <w:color w:val="333333"/>
        </w:rPr>
        <w:t xml:space="preserve">Commit 3 — bug fix (no new feature)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350"/>
        <w:gridCol w:w="4000"/>
      </w:tblGrid>
      <w:tr>
        <w:trPr>
          <w:tblHeader/>
        </w:trPr>
        <w:tc>
          <w:tcPr>
            <w:tcW w:type="dxa" w:w="5350"/>
            <w:shd w:fill="1F3864" w:val="clear"/>
            <w:tcMar>
              <w:top w:type="dxa" w:w="80"/>
              <w:left w:type="dxa" w:w="100"/>
              <w:bottom w:type="dxa" w:w="80"/>
              <w:right w:type="dxa" w:w="100"/>
            </w:tcMar>
            <w:vAlign w:val="center"/>
          </w:tcPr>
          <w:p>
            <w:r>
              <w:rPr>
                <w:b/>
                <w:bCs/>
                <w:color w:val="FFFFFF"/>
                <w:sz w:val="20"/>
                <w:szCs w:val="20"/>
              </w:rPr>
              <w:t xml:space="preserve">Path</w:t>
            </w:r>
          </w:p>
        </w:tc>
        <w:tc>
          <w:tcPr>
            <w:tcW w:type="dxa" w:w="4000"/>
            <w:shd w:fill="1F3864" w:val="clear"/>
            <w:tcMar>
              <w:top w:type="dxa" w:w="80"/>
              <w:left w:type="dxa" w:w="100"/>
              <w:bottom w:type="dxa" w:w="80"/>
              <w:right w:type="dxa" w:w="100"/>
            </w:tcMar>
            <w:vAlign w:val="center"/>
          </w:tcPr>
          <w:p>
            <w:r>
              <w:rPr>
                <w:b/>
                <w:bCs/>
                <w:color w:val="FFFFFF"/>
                <w:sz w:val="20"/>
                <w:szCs w:val="20"/>
              </w:rPr>
              <w:t xml:space="preserve">What</w:t>
            </w:r>
          </w:p>
        </w:tc>
      </w:tr>
      <w:tr>
        <w:tc>
          <w:tcPr>
            <w:tcW w:type="dxa" w:w="5350"/>
            <w:shd w:fill="FFFFFF" w:val="clear"/>
            <w:tcMar>
              <w:top w:type="dxa" w:w="70"/>
              <w:left w:type="dxa" w:w="100"/>
              <w:bottom w:type="dxa" w:w="70"/>
              <w:right w:type="dxa" w:w="100"/>
            </w:tcMar>
            <w:vAlign w:val="center"/>
          </w:tcPr>
          <w:p>
            <w:r>
              <w:rPr>
                <w:rFonts w:ascii="Consolas" w:cs="Consolas" w:eastAsia="Consolas" w:hAnsi="Consolas"/>
                <w:color w:val="8A2BE2"/>
                <w:sz w:val="18"/>
                <w:szCs w:val="18"/>
              </w:rPr>
              <w:t xml:space="preserve">mart-entities/src/main/resources/schema/query.graphqls</w:t>
            </w:r>
          </w:p>
        </w:tc>
        <w:tc>
          <w:tcPr>
            <w:tcW w:type="dxa" w:w="4000"/>
            <w:shd w:fill="FFFFFF" w:val="clear"/>
            <w:tcMar>
              <w:top w:type="dxa" w:w="70"/>
              <w:left w:type="dxa" w:w="100"/>
              <w:bottom w:type="dxa" w:w="70"/>
              <w:right w:type="dxa" w:w="100"/>
            </w:tcMar>
            <w:vAlign w:val="center"/>
          </w:tcPr>
          <w:p>
            <w:r>
              <w:rPr>
                <w:sz w:val="20"/>
                <w:szCs w:val="20"/>
              </w:rPr>
              <w:t xml:space="preserve">Fixed: instockCityOptions/instockDarkStoreOptions/instockSourcingHubOptions/instockFsnTaxonomy were all sharing one vajramId despite 4 different return types — split into 4 distinct ones</w:t>
            </w:r>
          </w:p>
        </w:tc>
      </w:tr>
    </w:tbl>
    <w:p>
      <w:pPr>
        <w:spacing w:after="120"/>
      </w:pPr>
      <w:r>
        <w:t xml:space="preserve"/>
      </w:r>
    </w:p>
    <w:p>
      <w:pPr>
        <w:pStyle w:val="Heading3"/>
        <w:spacing w:after="80" w:before="200"/>
      </w:pPr>
      <w:r>
        <w:rPr>
          <w:b/>
          <w:bCs/>
          <w:color w:val="333333"/>
        </w:rPr>
        <w:t xml:space="preserve">Commit 4 — exportJob chain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350"/>
        <w:gridCol w:w="4000"/>
      </w:tblGrid>
      <w:tr>
        <w:trPr>
          <w:tblHeader/>
        </w:trPr>
        <w:tc>
          <w:tcPr>
            <w:tcW w:type="dxa" w:w="5350"/>
            <w:shd w:fill="1F3864" w:val="clear"/>
            <w:tcMar>
              <w:top w:type="dxa" w:w="80"/>
              <w:left w:type="dxa" w:w="100"/>
              <w:bottom w:type="dxa" w:w="80"/>
              <w:right w:type="dxa" w:w="100"/>
            </w:tcMar>
            <w:vAlign w:val="center"/>
          </w:tcPr>
          <w:p>
            <w:r>
              <w:rPr>
                <w:b/>
                <w:bCs/>
                <w:color w:val="FFFFFF"/>
                <w:sz w:val="20"/>
                <w:szCs w:val="20"/>
              </w:rPr>
              <w:t xml:space="preserve">Path</w:t>
            </w:r>
          </w:p>
        </w:tc>
        <w:tc>
          <w:tcPr>
            <w:tcW w:type="dxa" w:w="4000"/>
            <w:shd w:fill="1F3864" w:val="clear"/>
            <w:tcMar>
              <w:top w:type="dxa" w:w="80"/>
              <w:left w:type="dxa" w:w="100"/>
              <w:bottom w:type="dxa" w:w="80"/>
              <w:right w:type="dxa" w:w="100"/>
            </w:tcMar>
            <w:vAlign w:val="center"/>
          </w:tcPr>
          <w:p>
            <w:r>
              <w:rPr>
                <w:b/>
                <w:bCs/>
                <w:color w:val="FFFFFF"/>
                <w:sz w:val="20"/>
                <w:szCs w:val="20"/>
              </w:rPr>
              <w:t xml:space="preserve">What</w:t>
            </w:r>
          </w:p>
        </w:tc>
      </w:tr>
      <w:tr>
        <w:tc>
          <w:tcPr>
            <w:tcW w:type="dxa" w:w="5350"/>
            <w:shd w:fill="FFFFFF" w:val="clear"/>
            <w:tcMar>
              <w:top w:type="dxa" w:w="70"/>
              <w:left w:type="dxa" w:w="100"/>
              <w:bottom w:type="dxa" w:w="70"/>
              <w:right w:type="dxa" w:w="100"/>
            </w:tcMar>
            <w:vAlign w:val="center"/>
          </w:tcPr>
          <w:p>
            <w:r>
              <w:rPr>
                <w:rFonts w:ascii="Consolas" w:cs="Consolas" w:eastAsia="Consolas" w:hAnsi="Consolas"/>
                <w:color w:val="8A2BE2"/>
                <w:sz w:val="18"/>
                <w:szCs w:val="18"/>
              </w:rPr>
              <w:t xml:space="preserve">mart-service-clients/.../model/ExportJobStatusResponse.java</w:t>
            </w:r>
          </w:p>
        </w:tc>
        <w:tc>
          <w:tcPr>
            <w:tcW w:type="dxa" w:w="4000"/>
            <w:shd w:fill="FFFFFF" w:val="clear"/>
            <w:tcMar>
              <w:top w:type="dxa" w:w="70"/>
              <w:left w:type="dxa" w:w="100"/>
              <w:bottom w:type="dxa" w:w="70"/>
              <w:right w:type="dxa" w:w="100"/>
            </w:tcMar>
            <w:vAlign w:val="center"/>
          </w:tcPr>
          <w:p>
            <w:r>
              <w:rPr>
                <w:sz w:val="20"/>
                <w:szCs w:val="20"/>
              </w:rPr>
              <w:t xml:space="preserve">New DTO</w:t>
            </w:r>
          </w:p>
        </w:tc>
      </w:tr>
      <w:tr>
        <w:tc>
          <w:tcPr>
            <w:tcW w:type="dxa" w:w="5350"/>
            <w:shd w:fill="F2F6F6" w:val="clear"/>
            <w:tcMar>
              <w:top w:type="dxa" w:w="70"/>
              <w:left w:type="dxa" w:w="100"/>
              <w:bottom w:type="dxa" w:w="70"/>
              <w:right w:type="dxa" w:w="100"/>
            </w:tcMar>
            <w:vAlign w:val="center"/>
          </w:tcPr>
          <w:p>
            <w:r>
              <w:rPr>
                <w:rFonts w:ascii="Consolas" w:cs="Consolas" w:eastAsia="Consolas" w:hAnsi="Consolas"/>
                <w:color w:val="8A2BE2"/>
                <w:sz w:val="18"/>
                <w:szCs w:val="18"/>
              </w:rPr>
              <w:t xml:space="preserve">MeridianServiceNonBlockingClient.java</w:t>
            </w:r>
          </w:p>
        </w:tc>
        <w:tc>
          <w:tcPr>
            <w:tcW w:type="dxa" w:w="4000"/>
            <w:shd w:fill="F2F6F6" w:val="clear"/>
            <w:tcMar>
              <w:top w:type="dxa" w:w="70"/>
              <w:left w:type="dxa" w:w="100"/>
              <w:bottom w:type="dxa" w:w="70"/>
              <w:right w:type="dxa" w:w="100"/>
            </w:tcMar>
            <w:vAlign w:val="center"/>
          </w:tcPr>
          <w:p>
            <w:r>
              <w:rPr>
                <w:sz w:val="20"/>
                <w:szCs w:val="20"/>
              </w:rPr>
              <w:t xml:space="preserve">Modified — added exportJob()</w:t>
            </w:r>
          </w:p>
        </w:tc>
      </w:tr>
      <w:tr>
        <w:tc>
          <w:tcPr>
            <w:tcW w:type="dxa" w:w="5350"/>
            <w:shd w:fill="FFFFFF" w:val="clear"/>
            <w:tcMar>
              <w:top w:type="dxa" w:w="70"/>
              <w:left w:type="dxa" w:w="100"/>
              <w:bottom w:type="dxa" w:w="70"/>
              <w:right w:type="dxa" w:w="100"/>
            </w:tcMar>
            <w:vAlign w:val="center"/>
          </w:tcPr>
          <w:p>
            <w:r>
              <w:rPr>
                <w:sz w:val="20"/>
                <w:szCs w:val="20"/>
              </w:rPr>
              <w:t xml:space="preserve">Both YAML spec files</w:t>
            </w:r>
          </w:p>
        </w:tc>
        <w:tc>
          <w:tcPr>
            <w:tcW w:type="dxa" w:w="4000"/>
            <w:shd w:fill="FFFFFF" w:val="clear"/>
            <w:tcMar>
              <w:top w:type="dxa" w:w="70"/>
              <w:left w:type="dxa" w:w="100"/>
              <w:bottom w:type="dxa" w:w="70"/>
              <w:right w:type="dxa" w:w="100"/>
            </w:tcMar>
            <w:vAlign w:val="center"/>
          </w:tcPr>
          <w:p>
            <w:r>
              <w:rPr>
                <w:sz w:val="20"/>
                <w:szCs w:val="20"/>
              </w:rPr>
              <w:t xml:space="preserve">Modified — added exportJob entries</w:t>
            </w:r>
          </w:p>
        </w:tc>
      </w:tr>
      <w:tr>
        <w:tc>
          <w:tcPr>
            <w:tcW w:type="dxa" w:w="5350"/>
            <w:shd w:fill="F2F6F6" w:val="clear"/>
            <w:tcMar>
              <w:top w:type="dxa" w:w="70"/>
              <w:left w:type="dxa" w:w="100"/>
              <w:bottom w:type="dxa" w:w="70"/>
              <w:right w:type="dxa" w:w="100"/>
            </w:tcMar>
            <w:vAlign w:val="center"/>
          </w:tcPr>
          <w:p>
            <w:r>
              <w:rPr>
                <w:rFonts w:ascii="Consolas" w:cs="Consolas" w:eastAsia="Consolas" w:hAnsi="Consolas"/>
                <w:color w:val="8A2BE2"/>
                <w:sz w:val="18"/>
                <w:szCs w:val="18"/>
              </w:rPr>
              <w:t xml:space="preserve">mart-entities/.../entity/ExportJobStatus.java</w:t>
            </w:r>
          </w:p>
        </w:tc>
        <w:tc>
          <w:tcPr>
            <w:tcW w:type="dxa" w:w="4000"/>
            <w:shd w:fill="F2F6F6" w:val="clear"/>
            <w:tcMar>
              <w:top w:type="dxa" w:w="70"/>
              <w:left w:type="dxa" w:w="100"/>
              <w:bottom w:type="dxa" w:w="70"/>
              <w:right w:type="dxa" w:w="100"/>
            </w:tcMar>
            <w:vAlign w:val="center"/>
          </w:tcPr>
          <w:p>
            <w:r>
              <w:rPr>
                <w:sz w:val="20"/>
                <w:szCs w:val="20"/>
              </w:rPr>
              <w:t xml:space="preserve">New entity</w:t>
            </w:r>
          </w:p>
        </w:tc>
      </w:tr>
      <w:tr>
        <w:tc>
          <w:tcPr>
            <w:tcW w:type="dxa" w:w="5350"/>
            <w:shd w:fill="FFFFFF" w:val="clear"/>
            <w:tcMar>
              <w:top w:type="dxa" w:w="70"/>
              <w:left w:type="dxa" w:w="100"/>
              <w:bottom w:type="dxa" w:w="70"/>
              <w:right w:type="dxa" w:w="100"/>
            </w:tcMar>
            <w:vAlign w:val="center"/>
          </w:tcPr>
          <w:p>
            <w:r>
              <w:rPr>
                <w:rFonts w:ascii="Consolas" w:cs="Consolas" w:eastAsia="Consolas" w:hAnsi="Consolas"/>
                <w:color w:val="8A2BE2"/>
                <w:sz w:val="18"/>
                <w:szCs w:val="18"/>
              </w:rPr>
              <w:t xml:space="preserve">vajram/instock/io/GetExportJobFromService.java</w:t>
            </w:r>
          </w:p>
        </w:tc>
        <w:tc>
          <w:tcPr>
            <w:tcW w:type="dxa" w:w="4000"/>
            <w:shd w:fill="FFFFFF" w:val="clear"/>
            <w:tcMar>
              <w:top w:type="dxa" w:w="70"/>
              <w:left w:type="dxa" w:w="100"/>
              <w:bottom w:type="dxa" w:w="70"/>
              <w:right w:type="dxa" w:w="100"/>
            </w:tcMar>
            <w:vAlign w:val="center"/>
          </w:tcPr>
          <w:p>
            <w:r>
              <w:rPr>
                <w:sz w:val="20"/>
                <w:szCs w:val="20"/>
              </w:rPr>
              <w:t xml:space="preserve">New IO Vajram</w:t>
            </w:r>
          </w:p>
        </w:tc>
      </w:tr>
      <w:tr>
        <w:tc>
          <w:tcPr>
            <w:tcW w:type="dxa" w:w="5350"/>
            <w:shd w:fill="F2F6F6" w:val="clear"/>
            <w:tcMar>
              <w:top w:type="dxa" w:w="70"/>
              <w:left w:type="dxa" w:w="100"/>
              <w:bottom w:type="dxa" w:w="70"/>
              <w:right w:type="dxa" w:w="100"/>
            </w:tcMar>
            <w:vAlign w:val="center"/>
          </w:tcPr>
          <w:p>
            <w:r>
              <w:rPr>
                <w:rFonts w:ascii="Consolas" w:cs="Consolas" w:eastAsia="Consolas" w:hAnsi="Consolas"/>
                <w:color w:val="8A2BE2"/>
                <w:sz w:val="18"/>
                <w:szCs w:val="18"/>
              </w:rPr>
              <w:t xml:space="preserve">vajram/instock/compute/GetExportJob.java</w:t>
            </w:r>
          </w:p>
        </w:tc>
        <w:tc>
          <w:tcPr>
            <w:tcW w:type="dxa" w:w="4000"/>
            <w:shd w:fill="F2F6F6" w:val="clear"/>
            <w:tcMar>
              <w:top w:type="dxa" w:w="70"/>
              <w:left w:type="dxa" w:w="100"/>
              <w:bottom w:type="dxa" w:w="70"/>
              <w:right w:type="dxa" w:w="100"/>
            </w:tcMar>
            <w:vAlign w:val="center"/>
          </w:tcPr>
          <w:p>
            <w:r>
              <w:rPr>
                <w:sz w:val="20"/>
                <w:szCs w:val="20"/>
              </w:rPr>
              <w:t xml:space="preserve">New Compute Vajram</w:t>
            </w:r>
          </w:p>
        </w:tc>
      </w:tr>
      <w:tr>
        <w:tc>
          <w:tcPr>
            <w:tcW w:type="dxa" w:w="5350"/>
            <w:shd w:fill="FFFFFF" w:val="clear"/>
            <w:tcMar>
              <w:top w:type="dxa" w:w="70"/>
              <w:left w:type="dxa" w:w="100"/>
              <w:bottom w:type="dxa" w:w="70"/>
              <w:right w:type="dxa" w:w="100"/>
            </w:tcMar>
            <w:vAlign w:val="center"/>
          </w:tcPr>
          <w:p>
            <w:r>
              <w:rPr>
                <w:rFonts w:ascii="Consolas" w:cs="Consolas" w:eastAsia="Consolas" w:hAnsi="Consolas"/>
                <w:color w:val="8A2BE2"/>
                <w:sz w:val="18"/>
                <w:szCs w:val="18"/>
              </w:rPr>
              <w:t xml:space="preserve">vajram/aggregators/ExportJobGraphQLAggregator.java</w:t>
            </w:r>
          </w:p>
        </w:tc>
        <w:tc>
          <w:tcPr>
            <w:tcW w:type="dxa" w:w="4000"/>
            <w:shd w:fill="FFFFFF" w:val="clear"/>
            <w:tcMar>
              <w:top w:type="dxa" w:w="70"/>
              <w:left w:type="dxa" w:w="100"/>
              <w:bottom w:type="dxa" w:w="70"/>
              <w:right w:type="dxa" w:w="100"/>
            </w:tcMar>
            <w:vAlign w:val="center"/>
          </w:tcPr>
          <w:p>
            <w:r>
              <w:rPr>
                <w:sz w:val="20"/>
                <w:szCs w:val="20"/>
              </w:rPr>
              <w:t xml:space="preserve">New Aggregator</w:t>
            </w:r>
          </w:p>
        </w:tc>
      </w:tr>
    </w:tbl>
    <w:p>
      <w:pPr>
        <w:spacing w:after="120"/>
      </w:pPr>
      <w:r>
        <w:t xml:space="preserve"/>
      </w:r>
    </w:p>
    <w:p>
      <w:pPr>
        <w:pStyle w:val="Heading3"/>
        <w:spacing w:after="80" w:before="200"/>
      </w:pPr>
      <w:r>
        <w:rPr>
          <w:b/>
          <w:bCs/>
          <w:color w:val="333333"/>
        </w:rPr>
        <w:t xml:space="preserve">Commit 5 — instockCities chain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350"/>
        <w:gridCol w:w="4000"/>
      </w:tblGrid>
      <w:tr>
        <w:trPr>
          <w:tblHeader/>
        </w:trPr>
        <w:tc>
          <w:tcPr>
            <w:tcW w:type="dxa" w:w="5350"/>
            <w:shd w:fill="1F3864" w:val="clear"/>
            <w:tcMar>
              <w:top w:type="dxa" w:w="80"/>
              <w:left w:type="dxa" w:w="100"/>
              <w:bottom w:type="dxa" w:w="80"/>
              <w:right w:type="dxa" w:w="100"/>
            </w:tcMar>
            <w:vAlign w:val="center"/>
          </w:tcPr>
          <w:p>
            <w:r>
              <w:rPr>
                <w:b/>
                <w:bCs/>
                <w:color w:val="FFFFFF"/>
                <w:sz w:val="20"/>
                <w:szCs w:val="20"/>
              </w:rPr>
              <w:t xml:space="preserve">Path</w:t>
            </w:r>
          </w:p>
        </w:tc>
        <w:tc>
          <w:tcPr>
            <w:tcW w:type="dxa" w:w="4000"/>
            <w:shd w:fill="1F3864" w:val="clear"/>
            <w:tcMar>
              <w:top w:type="dxa" w:w="80"/>
              <w:left w:type="dxa" w:w="100"/>
              <w:bottom w:type="dxa" w:w="80"/>
              <w:right w:type="dxa" w:w="100"/>
            </w:tcMar>
            <w:vAlign w:val="center"/>
          </w:tcPr>
          <w:p>
            <w:r>
              <w:rPr>
                <w:b/>
                <w:bCs/>
                <w:color w:val="FFFFFF"/>
                <w:sz w:val="20"/>
                <w:szCs w:val="20"/>
              </w:rPr>
              <w:t xml:space="preserve">What</w:t>
            </w:r>
          </w:p>
        </w:tc>
      </w:tr>
      <w:tr>
        <w:tc>
          <w:tcPr>
            <w:tcW w:type="dxa" w:w="5350"/>
            <w:shd w:fill="FFFFFF" w:val="clear"/>
            <w:tcMar>
              <w:top w:type="dxa" w:w="70"/>
              <w:left w:type="dxa" w:w="100"/>
              <w:bottom w:type="dxa" w:w="70"/>
              <w:right w:type="dxa" w:w="100"/>
            </w:tcMar>
            <w:vAlign w:val="center"/>
          </w:tcPr>
          <w:p>
            <w:r>
              <w:rPr>
                <w:rFonts w:ascii="Consolas" w:cs="Consolas" w:eastAsia="Consolas" w:hAnsi="Consolas"/>
                <w:color w:val="8A2BE2"/>
                <w:sz w:val="18"/>
                <w:szCs w:val="18"/>
              </w:rPr>
              <w:t xml:space="preserve">mart-service-clients/.../model/SubPivotRowDto.java, CityRowDto.java, InstockCitiesResponse.java</w:t>
            </w:r>
          </w:p>
        </w:tc>
        <w:tc>
          <w:tcPr>
            <w:tcW w:type="dxa" w:w="4000"/>
            <w:shd w:fill="FFFFFF" w:val="clear"/>
            <w:tcMar>
              <w:top w:type="dxa" w:w="70"/>
              <w:left w:type="dxa" w:w="100"/>
              <w:bottom w:type="dxa" w:w="70"/>
              <w:right w:type="dxa" w:w="100"/>
            </w:tcMar>
            <w:vAlign w:val="center"/>
          </w:tcPr>
          <w:p>
            <w:r>
              <w:rPr>
                <w:sz w:val="20"/>
                <w:szCs w:val="20"/>
              </w:rPr>
              <w:t xml:space="preserve">New DTOs</w:t>
            </w:r>
          </w:p>
        </w:tc>
      </w:tr>
      <w:tr>
        <w:tc>
          <w:tcPr>
            <w:tcW w:type="dxa" w:w="5350"/>
            <w:shd w:fill="F2F6F6" w:val="clear"/>
            <w:tcMar>
              <w:top w:type="dxa" w:w="70"/>
              <w:left w:type="dxa" w:w="100"/>
              <w:bottom w:type="dxa" w:w="70"/>
              <w:right w:type="dxa" w:w="100"/>
            </w:tcMar>
            <w:vAlign w:val="center"/>
          </w:tcPr>
          <w:p>
            <w:r>
              <w:rPr>
                <w:rFonts w:ascii="Consolas" w:cs="Consolas" w:eastAsia="Consolas" w:hAnsi="Consolas"/>
                <w:color w:val="8A2BE2"/>
                <w:sz w:val="18"/>
                <w:szCs w:val="18"/>
              </w:rPr>
              <w:t xml:space="preserve">MeridianServiceNonBlockingClient.java</w:t>
            </w:r>
          </w:p>
        </w:tc>
        <w:tc>
          <w:tcPr>
            <w:tcW w:type="dxa" w:w="4000"/>
            <w:shd w:fill="F2F6F6" w:val="clear"/>
            <w:tcMar>
              <w:top w:type="dxa" w:w="70"/>
              <w:left w:type="dxa" w:w="100"/>
              <w:bottom w:type="dxa" w:w="70"/>
              <w:right w:type="dxa" w:w="100"/>
            </w:tcMar>
            <w:vAlign w:val="center"/>
          </w:tcPr>
          <w:p>
            <w:r>
              <w:rPr>
                <w:sz w:val="20"/>
                <w:szCs w:val="20"/>
              </w:rPr>
              <w:t xml:space="preserve">Modified — added instockCities()</w:t>
            </w:r>
          </w:p>
        </w:tc>
      </w:tr>
      <w:tr>
        <w:tc>
          <w:tcPr>
            <w:tcW w:type="dxa" w:w="5350"/>
            <w:shd w:fill="FFFFFF" w:val="clear"/>
            <w:tcMar>
              <w:top w:type="dxa" w:w="70"/>
              <w:left w:type="dxa" w:w="100"/>
              <w:bottom w:type="dxa" w:w="70"/>
              <w:right w:type="dxa" w:w="100"/>
            </w:tcMar>
            <w:vAlign w:val="center"/>
          </w:tcPr>
          <w:p>
            <w:r>
              <w:rPr>
                <w:sz w:val="20"/>
                <w:szCs w:val="20"/>
              </w:rPr>
              <w:t xml:space="preserve">Both YAML spec files</w:t>
            </w:r>
          </w:p>
        </w:tc>
        <w:tc>
          <w:tcPr>
            <w:tcW w:type="dxa" w:w="4000"/>
            <w:shd w:fill="FFFFFF" w:val="clear"/>
            <w:tcMar>
              <w:top w:type="dxa" w:w="70"/>
              <w:left w:type="dxa" w:w="100"/>
              <w:bottom w:type="dxa" w:w="70"/>
              <w:right w:type="dxa" w:w="100"/>
            </w:tcMar>
            <w:vAlign w:val="center"/>
          </w:tcPr>
          <w:p>
            <w:r>
              <w:rPr>
                <w:sz w:val="20"/>
                <w:szCs w:val="20"/>
              </w:rPr>
              <w:t xml:space="preserve">Modified</w:t>
            </w:r>
          </w:p>
        </w:tc>
      </w:tr>
      <w:tr>
        <w:tc>
          <w:tcPr>
            <w:tcW w:type="dxa" w:w="5350"/>
            <w:shd w:fill="F2F6F6" w:val="clear"/>
            <w:tcMar>
              <w:top w:type="dxa" w:w="70"/>
              <w:left w:type="dxa" w:w="100"/>
              <w:bottom w:type="dxa" w:w="70"/>
              <w:right w:type="dxa" w:w="100"/>
            </w:tcMar>
            <w:vAlign w:val="center"/>
          </w:tcPr>
          <w:p>
            <w:r>
              <w:rPr>
                <w:rFonts w:ascii="Consolas" w:cs="Consolas" w:eastAsia="Consolas" w:hAnsi="Consolas"/>
                <w:color w:val="8A2BE2"/>
                <w:sz w:val="18"/>
                <w:szCs w:val="18"/>
              </w:rPr>
              <w:t xml:space="preserve">mart-entities/.../entity/SubPivotRow.java, CityRow.java, InstockCities.java</w:t>
            </w:r>
          </w:p>
        </w:tc>
        <w:tc>
          <w:tcPr>
            <w:tcW w:type="dxa" w:w="4000"/>
            <w:shd w:fill="F2F6F6" w:val="clear"/>
            <w:tcMar>
              <w:top w:type="dxa" w:w="70"/>
              <w:left w:type="dxa" w:w="100"/>
              <w:bottom w:type="dxa" w:w="70"/>
              <w:right w:type="dxa" w:w="100"/>
            </w:tcMar>
            <w:vAlign w:val="center"/>
          </w:tcPr>
          <w:p>
            <w:r>
              <w:rPr>
                <w:sz w:val="20"/>
                <w:szCs w:val="20"/>
              </w:rPr>
              <w:t xml:space="preserve">New entities</w:t>
            </w:r>
          </w:p>
        </w:tc>
      </w:tr>
      <w:tr>
        <w:tc>
          <w:tcPr>
            <w:tcW w:type="dxa" w:w="5350"/>
            <w:shd w:fill="FFFFFF" w:val="clear"/>
            <w:tcMar>
              <w:top w:type="dxa" w:w="70"/>
              <w:left w:type="dxa" w:w="100"/>
              <w:bottom w:type="dxa" w:w="70"/>
              <w:right w:type="dxa" w:w="100"/>
            </w:tcMar>
            <w:vAlign w:val="center"/>
          </w:tcPr>
          <w:p>
            <w:r>
              <w:rPr>
                <w:rFonts w:ascii="Consolas" w:cs="Consolas" w:eastAsia="Consolas" w:hAnsi="Consolas"/>
                <w:color w:val="8A2BE2"/>
                <w:sz w:val="18"/>
                <w:szCs w:val="18"/>
              </w:rPr>
              <w:t xml:space="preserve">vajram/instock/io/GetInstockCitiesFromService.java</w:t>
            </w:r>
          </w:p>
        </w:tc>
        <w:tc>
          <w:tcPr>
            <w:tcW w:type="dxa" w:w="4000"/>
            <w:shd w:fill="FFFFFF" w:val="clear"/>
            <w:tcMar>
              <w:top w:type="dxa" w:w="70"/>
              <w:left w:type="dxa" w:w="100"/>
              <w:bottom w:type="dxa" w:w="70"/>
              <w:right w:type="dxa" w:w="100"/>
            </w:tcMar>
            <w:vAlign w:val="center"/>
          </w:tcPr>
          <w:p>
            <w:r>
              <w:rPr>
                <w:sz w:val="20"/>
                <w:szCs w:val="20"/>
              </w:rPr>
              <w:t xml:space="preserve">New IO Vajram</w:t>
            </w:r>
          </w:p>
        </w:tc>
      </w:tr>
      <w:tr>
        <w:tc>
          <w:tcPr>
            <w:tcW w:type="dxa" w:w="5350"/>
            <w:shd w:fill="F2F6F6" w:val="clear"/>
            <w:tcMar>
              <w:top w:type="dxa" w:w="70"/>
              <w:left w:type="dxa" w:w="100"/>
              <w:bottom w:type="dxa" w:w="70"/>
              <w:right w:type="dxa" w:w="100"/>
            </w:tcMar>
            <w:vAlign w:val="center"/>
          </w:tcPr>
          <w:p>
            <w:r>
              <w:rPr>
                <w:rFonts w:ascii="Consolas" w:cs="Consolas" w:eastAsia="Consolas" w:hAnsi="Consolas"/>
                <w:color w:val="8A2BE2"/>
                <w:sz w:val="18"/>
                <w:szCs w:val="18"/>
              </w:rPr>
              <w:t xml:space="preserve">vajram/instock/compute/GetInstockCities.java</w:t>
            </w:r>
          </w:p>
        </w:tc>
        <w:tc>
          <w:tcPr>
            <w:tcW w:type="dxa" w:w="4000"/>
            <w:shd w:fill="F2F6F6" w:val="clear"/>
            <w:tcMar>
              <w:top w:type="dxa" w:w="70"/>
              <w:left w:type="dxa" w:w="100"/>
              <w:bottom w:type="dxa" w:w="70"/>
              <w:right w:type="dxa" w:w="100"/>
            </w:tcMar>
            <w:vAlign w:val="center"/>
          </w:tcPr>
          <w:p>
            <w:r>
              <w:rPr>
                <w:sz w:val="20"/>
                <w:szCs w:val="20"/>
              </w:rPr>
              <w:t xml:space="preserve">New Compute Vajram</w:t>
            </w:r>
          </w:p>
        </w:tc>
      </w:tr>
      <w:tr>
        <w:tc>
          <w:tcPr>
            <w:tcW w:type="dxa" w:w="5350"/>
            <w:shd w:fill="FFFFFF" w:val="clear"/>
            <w:tcMar>
              <w:top w:type="dxa" w:w="70"/>
              <w:left w:type="dxa" w:w="100"/>
              <w:bottom w:type="dxa" w:w="70"/>
              <w:right w:type="dxa" w:w="100"/>
            </w:tcMar>
            <w:vAlign w:val="center"/>
          </w:tcPr>
          <w:p>
            <w:r>
              <w:rPr>
                <w:rFonts w:ascii="Consolas" w:cs="Consolas" w:eastAsia="Consolas" w:hAnsi="Consolas"/>
                <w:color w:val="8A2BE2"/>
                <w:sz w:val="18"/>
                <w:szCs w:val="18"/>
              </w:rPr>
              <w:t xml:space="preserve">vajram/aggregators/InstockCitiesGraphQLAggregator.java</w:t>
            </w:r>
          </w:p>
        </w:tc>
        <w:tc>
          <w:tcPr>
            <w:tcW w:type="dxa" w:w="4000"/>
            <w:shd w:fill="FFFFFF" w:val="clear"/>
            <w:tcMar>
              <w:top w:type="dxa" w:w="70"/>
              <w:left w:type="dxa" w:w="100"/>
              <w:bottom w:type="dxa" w:w="70"/>
              <w:right w:type="dxa" w:w="100"/>
            </w:tcMar>
            <w:vAlign w:val="center"/>
          </w:tcPr>
          <w:p>
            <w:r>
              <w:rPr>
                <w:sz w:val="20"/>
                <w:szCs w:val="20"/>
              </w:rPr>
              <w:t xml:space="preserve">New Aggregator</w:t>
            </w:r>
          </w:p>
        </w:tc>
      </w:tr>
    </w:tbl>
    <w:p>
      <w:pPr>
        <w:spacing w:after="120"/>
      </w:pPr>
      <w:r>
        <w:t xml:space="preserve"/>
      </w:r>
    </w:p>
    <w:p>
      <w:pPr>
        <w:pStyle w:val="Heading3"/>
        <w:spacing w:after="80" w:before="200"/>
      </w:pPr>
      <w:r>
        <w:rPr>
          <w:b/>
          <w:bCs/>
          <w:color w:val="333333"/>
        </w:rPr>
        <w:t xml:space="preserve">Commit 6 — compareVs made Required (UX feedback) + citySubPivots chain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350"/>
        <w:gridCol w:w="4000"/>
      </w:tblGrid>
      <w:tr>
        <w:trPr>
          <w:tblHeader/>
        </w:trPr>
        <w:tc>
          <w:tcPr>
            <w:tcW w:type="dxa" w:w="5350"/>
            <w:shd w:fill="1F3864" w:val="clear"/>
            <w:tcMar>
              <w:top w:type="dxa" w:w="80"/>
              <w:left w:type="dxa" w:w="100"/>
              <w:bottom w:type="dxa" w:w="80"/>
              <w:right w:type="dxa" w:w="100"/>
            </w:tcMar>
            <w:vAlign w:val="center"/>
          </w:tcPr>
          <w:p>
            <w:r>
              <w:rPr>
                <w:b/>
                <w:bCs/>
                <w:color w:val="FFFFFF"/>
                <w:sz w:val="20"/>
                <w:szCs w:val="20"/>
              </w:rPr>
              <w:t xml:space="preserve">Path</w:t>
            </w:r>
          </w:p>
        </w:tc>
        <w:tc>
          <w:tcPr>
            <w:tcW w:type="dxa" w:w="4000"/>
            <w:shd w:fill="1F3864" w:val="clear"/>
            <w:tcMar>
              <w:top w:type="dxa" w:w="80"/>
              <w:left w:type="dxa" w:w="100"/>
              <w:bottom w:type="dxa" w:w="80"/>
              <w:right w:type="dxa" w:w="100"/>
            </w:tcMar>
            <w:vAlign w:val="center"/>
          </w:tcPr>
          <w:p>
            <w:r>
              <w:rPr>
                <w:b/>
                <w:bCs/>
                <w:color w:val="FFFFFF"/>
                <w:sz w:val="20"/>
                <w:szCs w:val="20"/>
              </w:rPr>
              <w:t xml:space="preserve">What</w:t>
            </w:r>
          </w:p>
        </w:tc>
      </w:tr>
      <w:tr>
        <w:tc>
          <w:tcPr>
            <w:tcW w:type="dxa" w:w="5350"/>
            <w:shd w:fill="FFFFFF" w:val="clear"/>
            <w:tcMar>
              <w:top w:type="dxa" w:w="70"/>
              <w:left w:type="dxa" w:w="100"/>
              <w:bottom w:type="dxa" w:w="70"/>
              <w:right w:type="dxa" w:w="100"/>
            </w:tcMar>
            <w:vAlign w:val="center"/>
          </w:tcPr>
          <w:p>
            <w:r>
              <w:rPr>
                <w:rFonts w:ascii="Consolas" w:cs="Consolas" w:eastAsia="Consolas" w:hAnsi="Consolas"/>
                <w:color w:val="8A2BE2"/>
                <w:sz w:val="18"/>
                <w:szCs w:val="18"/>
              </w:rPr>
              <w:t xml:space="preserve">query.graphqls</w:t>
            </w:r>
          </w:p>
        </w:tc>
        <w:tc>
          <w:tcPr>
            <w:tcW w:type="dxa" w:w="4000"/>
            <w:shd w:fill="FFFFFF" w:val="clear"/>
            <w:tcMar>
              <w:top w:type="dxa" w:w="70"/>
              <w:left w:type="dxa" w:w="100"/>
              <w:bottom w:type="dxa" w:w="70"/>
              <w:right w:type="dxa" w:w="100"/>
            </w:tcMar>
            <w:vAlign w:val="center"/>
          </w:tcPr>
          <w:p>
            <w:r>
              <w:rPr>
                <w:sz w:val="20"/>
                <w:szCs w:val="20"/>
              </w:rPr>
              <w:t xml:space="preserve">Modified — CompareVs → CompareVs! on 6 fields</w:t>
            </w:r>
          </w:p>
        </w:tc>
      </w:tr>
      <w:tr>
        <w:tc>
          <w:tcPr>
            <w:tcW w:type="dxa" w:w="5350"/>
            <w:shd w:fill="F2F6F6" w:val="clear"/>
            <w:tcMar>
              <w:top w:type="dxa" w:w="70"/>
              <w:left w:type="dxa" w:w="100"/>
              <w:bottom w:type="dxa" w:w="70"/>
              <w:right w:type="dxa" w:w="100"/>
            </w:tcMar>
            <w:vAlign w:val="center"/>
          </w:tcPr>
          <w:p>
            <w:r>
              <w:rPr>
                <w:rFonts w:ascii="Consolas" w:cs="Consolas" w:eastAsia="Consolas" w:hAnsi="Consolas"/>
                <w:color w:val="8A2BE2"/>
                <w:sz w:val="18"/>
                <w:szCs w:val="18"/>
              </w:rPr>
              <w:t xml:space="preserve">InstockKPIsGraphQLAggregator.java, WorstFsnsGraphQLAggregator.java, InstockCitiesGraphQLAggregator.java</w:t>
            </w:r>
          </w:p>
        </w:tc>
        <w:tc>
          <w:tcPr>
            <w:tcW w:type="dxa" w:w="4000"/>
            <w:shd w:fill="F2F6F6" w:val="clear"/>
            <w:tcMar>
              <w:top w:type="dxa" w:w="70"/>
              <w:left w:type="dxa" w:w="100"/>
              <w:bottom w:type="dxa" w:w="70"/>
              <w:right w:type="dxa" w:w="100"/>
            </w:tcMar>
            <w:vAlign w:val="center"/>
          </w:tcPr>
          <w:p>
            <w:r>
              <w:rPr>
                <w:sz w:val="20"/>
                <w:szCs w:val="20"/>
              </w:rPr>
              <w:t xml:space="preserve">Modified — @IfAbsent(FAIL) added to compareVs</w:t>
            </w:r>
          </w:p>
        </w:tc>
      </w:tr>
      <w:tr>
        <w:tc>
          <w:tcPr>
            <w:tcW w:type="dxa" w:w="5350"/>
            <w:shd w:fill="FFFFFF" w:val="clear"/>
            <w:tcMar>
              <w:top w:type="dxa" w:w="70"/>
              <w:left w:type="dxa" w:w="100"/>
              <w:bottom w:type="dxa" w:w="70"/>
              <w:right w:type="dxa" w:w="100"/>
            </w:tcMar>
            <w:vAlign w:val="center"/>
          </w:tcPr>
          <w:p>
            <w:r>
              <w:rPr>
                <w:rFonts w:ascii="Consolas" w:cs="Consolas" w:eastAsia="Consolas" w:hAnsi="Consolas"/>
                <w:color w:val="8A2BE2"/>
                <w:sz w:val="18"/>
                <w:szCs w:val="18"/>
              </w:rPr>
              <w:t xml:space="preserve">mart-service-clients/.../model/CitySubPivotsResponse.java</w:t>
            </w:r>
          </w:p>
        </w:tc>
        <w:tc>
          <w:tcPr>
            <w:tcW w:type="dxa" w:w="4000"/>
            <w:shd w:fill="FFFFFF" w:val="clear"/>
            <w:tcMar>
              <w:top w:type="dxa" w:w="70"/>
              <w:left w:type="dxa" w:w="100"/>
              <w:bottom w:type="dxa" w:w="70"/>
              <w:right w:type="dxa" w:w="100"/>
            </w:tcMar>
            <w:vAlign w:val="center"/>
          </w:tcPr>
          <w:p>
            <w:r>
              <w:rPr>
                <w:sz w:val="20"/>
                <w:szCs w:val="20"/>
              </w:rPr>
              <w:t xml:space="preserve">New DTO</w:t>
            </w:r>
          </w:p>
        </w:tc>
      </w:tr>
      <w:tr>
        <w:tc>
          <w:tcPr>
            <w:tcW w:type="dxa" w:w="5350"/>
            <w:shd w:fill="F2F6F6" w:val="clear"/>
            <w:tcMar>
              <w:top w:type="dxa" w:w="70"/>
              <w:left w:type="dxa" w:w="100"/>
              <w:bottom w:type="dxa" w:w="70"/>
              <w:right w:type="dxa" w:w="100"/>
            </w:tcMar>
            <w:vAlign w:val="center"/>
          </w:tcPr>
          <w:p>
            <w:r>
              <w:rPr>
                <w:rFonts w:ascii="Consolas" w:cs="Consolas" w:eastAsia="Consolas" w:hAnsi="Consolas"/>
                <w:color w:val="8A2BE2"/>
                <w:sz w:val="18"/>
                <w:szCs w:val="18"/>
              </w:rPr>
              <w:t xml:space="preserve">MeridianServiceNonBlockingClient.java</w:t>
            </w:r>
          </w:p>
        </w:tc>
        <w:tc>
          <w:tcPr>
            <w:tcW w:type="dxa" w:w="4000"/>
            <w:shd w:fill="F2F6F6" w:val="clear"/>
            <w:tcMar>
              <w:top w:type="dxa" w:w="70"/>
              <w:left w:type="dxa" w:w="100"/>
              <w:bottom w:type="dxa" w:w="70"/>
              <w:right w:type="dxa" w:w="100"/>
            </w:tcMar>
            <w:vAlign w:val="center"/>
          </w:tcPr>
          <w:p>
            <w:r>
              <w:rPr>
                <w:sz w:val="20"/>
                <w:szCs w:val="20"/>
              </w:rPr>
              <w:t xml:space="preserve">Modified — added citySubPivots()</w:t>
            </w:r>
          </w:p>
        </w:tc>
      </w:tr>
      <w:tr>
        <w:tc>
          <w:tcPr>
            <w:tcW w:type="dxa" w:w="5350"/>
            <w:shd w:fill="FFFFFF" w:val="clear"/>
            <w:tcMar>
              <w:top w:type="dxa" w:w="70"/>
              <w:left w:type="dxa" w:w="100"/>
              <w:bottom w:type="dxa" w:w="70"/>
              <w:right w:type="dxa" w:w="100"/>
            </w:tcMar>
            <w:vAlign w:val="center"/>
          </w:tcPr>
          <w:p>
            <w:r>
              <w:rPr>
                <w:sz w:val="20"/>
                <w:szCs w:val="20"/>
              </w:rPr>
              <w:t xml:space="preserve">Both YAML spec files</w:t>
            </w:r>
          </w:p>
        </w:tc>
        <w:tc>
          <w:tcPr>
            <w:tcW w:type="dxa" w:w="4000"/>
            <w:shd w:fill="FFFFFF" w:val="clear"/>
            <w:tcMar>
              <w:top w:type="dxa" w:w="70"/>
              <w:left w:type="dxa" w:w="100"/>
              <w:bottom w:type="dxa" w:w="70"/>
              <w:right w:type="dxa" w:w="100"/>
            </w:tcMar>
            <w:vAlign w:val="center"/>
          </w:tcPr>
          <w:p>
            <w:r>
              <w:rPr>
                <w:sz w:val="20"/>
                <w:szCs w:val="20"/>
              </w:rPr>
              <w:t xml:space="preserve">Modified</w:t>
            </w:r>
          </w:p>
        </w:tc>
      </w:tr>
      <w:tr>
        <w:tc>
          <w:tcPr>
            <w:tcW w:type="dxa" w:w="5350"/>
            <w:shd w:fill="F2F6F6" w:val="clear"/>
            <w:tcMar>
              <w:top w:type="dxa" w:w="70"/>
              <w:left w:type="dxa" w:w="100"/>
              <w:bottom w:type="dxa" w:w="70"/>
              <w:right w:type="dxa" w:w="100"/>
            </w:tcMar>
            <w:vAlign w:val="center"/>
          </w:tcPr>
          <w:p>
            <w:r>
              <w:rPr>
                <w:rFonts w:ascii="Consolas" w:cs="Consolas" w:eastAsia="Consolas" w:hAnsi="Consolas"/>
                <w:color w:val="8A2BE2"/>
                <w:sz w:val="18"/>
                <w:szCs w:val="18"/>
              </w:rPr>
              <w:t xml:space="preserve">mart-entities/.../entity/CitySubPivots.java</w:t>
            </w:r>
          </w:p>
        </w:tc>
        <w:tc>
          <w:tcPr>
            <w:tcW w:type="dxa" w:w="4000"/>
            <w:shd w:fill="F2F6F6" w:val="clear"/>
            <w:tcMar>
              <w:top w:type="dxa" w:w="70"/>
              <w:left w:type="dxa" w:w="100"/>
              <w:bottom w:type="dxa" w:w="70"/>
              <w:right w:type="dxa" w:w="100"/>
            </w:tcMar>
            <w:vAlign w:val="center"/>
          </w:tcPr>
          <w:p>
            <w:r>
              <w:rPr>
                <w:sz w:val="20"/>
                <w:szCs w:val="20"/>
              </w:rPr>
              <w:t xml:space="preserve">New entity</w:t>
            </w:r>
          </w:p>
        </w:tc>
      </w:tr>
      <w:tr>
        <w:tc>
          <w:tcPr>
            <w:tcW w:type="dxa" w:w="5350"/>
            <w:shd w:fill="FFFFFF" w:val="clear"/>
            <w:tcMar>
              <w:top w:type="dxa" w:w="70"/>
              <w:left w:type="dxa" w:w="100"/>
              <w:bottom w:type="dxa" w:w="70"/>
              <w:right w:type="dxa" w:w="100"/>
            </w:tcMar>
            <w:vAlign w:val="center"/>
          </w:tcPr>
          <w:p>
            <w:r>
              <w:rPr>
                <w:rFonts w:ascii="Consolas" w:cs="Consolas" w:eastAsia="Consolas" w:hAnsi="Consolas"/>
                <w:color w:val="8A2BE2"/>
                <w:sz w:val="18"/>
                <w:szCs w:val="18"/>
              </w:rPr>
              <w:t xml:space="preserve">vajram/instock/io/GetCitySubPivotsFromService.java</w:t>
            </w:r>
          </w:p>
        </w:tc>
        <w:tc>
          <w:tcPr>
            <w:tcW w:type="dxa" w:w="4000"/>
            <w:shd w:fill="FFFFFF" w:val="clear"/>
            <w:tcMar>
              <w:top w:type="dxa" w:w="70"/>
              <w:left w:type="dxa" w:w="100"/>
              <w:bottom w:type="dxa" w:w="70"/>
              <w:right w:type="dxa" w:w="100"/>
            </w:tcMar>
            <w:vAlign w:val="center"/>
          </w:tcPr>
          <w:p>
            <w:r>
              <w:rPr>
                <w:sz w:val="20"/>
                <w:szCs w:val="20"/>
              </w:rPr>
              <w:t xml:space="preserve">New IO Vajram</w:t>
            </w:r>
          </w:p>
        </w:tc>
      </w:tr>
      <w:tr>
        <w:tc>
          <w:tcPr>
            <w:tcW w:type="dxa" w:w="5350"/>
            <w:shd w:fill="F2F6F6" w:val="clear"/>
            <w:tcMar>
              <w:top w:type="dxa" w:w="70"/>
              <w:left w:type="dxa" w:w="100"/>
              <w:bottom w:type="dxa" w:w="70"/>
              <w:right w:type="dxa" w:w="100"/>
            </w:tcMar>
            <w:vAlign w:val="center"/>
          </w:tcPr>
          <w:p>
            <w:r>
              <w:rPr>
                <w:rFonts w:ascii="Consolas" w:cs="Consolas" w:eastAsia="Consolas" w:hAnsi="Consolas"/>
                <w:color w:val="8A2BE2"/>
                <w:sz w:val="18"/>
                <w:szCs w:val="18"/>
              </w:rPr>
              <w:t xml:space="preserve">vajram/instock/compute/GetCitySubPivots.java</w:t>
            </w:r>
          </w:p>
        </w:tc>
        <w:tc>
          <w:tcPr>
            <w:tcW w:type="dxa" w:w="4000"/>
            <w:shd w:fill="F2F6F6" w:val="clear"/>
            <w:tcMar>
              <w:top w:type="dxa" w:w="70"/>
              <w:left w:type="dxa" w:w="100"/>
              <w:bottom w:type="dxa" w:w="70"/>
              <w:right w:type="dxa" w:w="100"/>
            </w:tcMar>
            <w:vAlign w:val="center"/>
          </w:tcPr>
          <w:p>
            <w:r>
              <w:rPr>
                <w:sz w:val="20"/>
                <w:szCs w:val="20"/>
              </w:rPr>
              <w:t xml:space="preserve">New Compute Vajram</w:t>
            </w:r>
          </w:p>
        </w:tc>
      </w:tr>
      <w:tr>
        <w:tc>
          <w:tcPr>
            <w:tcW w:type="dxa" w:w="5350"/>
            <w:shd w:fill="FFFFFF" w:val="clear"/>
            <w:tcMar>
              <w:top w:type="dxa" w:w="70"/>
              <w:left w:type="dxa" w:w="100"/>
              <w:bottom w:type="dxa" w:w="70"/>
              <w:right w:type="dxa" w:w="100"/>
            </w:tcMar>
            <w:vAlign w:val="center"/>
          </w:tcPr>
          <w:p>
            <w:r>
              <w:rPr>
                <w:rFonts w:ascii="Consolas" w:cs="Consolas" w:eastAsia="Consolas" w:hAnsi="Consolas"/>
                <w:color w:val="8A2BE2"/>
                <w:sz w:val="18"/>
                <w:szCs w:val="18"/>
              </w:rPr>
              <w:t xml:space="preserve">vajram/aggregators/CitySubPivotsGraphQLAggregator.java</w:t>
            </w:r>
          </w:p>
        </w:tc>
        <w:tc>
          <w:tcPr>
            <w:tcW w:type="dxa" w:w="4000"/>
            <w:shd w:fill="FFFFFF" w:val="clear"/>
            <w:tcMar>
              <w:top w:type="dxa" w:w="70"/>
              <w:left w:type="dxa" w:w="100"/>
              <w:bottom w:type="dxa" w:w="70"/>
              <w:right w:type="dxa" w:w="100"/>
            </w:tcMar>
            <w:vAlign w:val="center"/>
          </w:tcPr>
          <w:p>
            <w:r>
              <w:rPr>
                <w:sz w:val="20"/>
                <w:szCs w:val="20"/>
              </w:rPr>
              <w:t xml:space="preserve">New Aggregator</w:t>
            </w:r>
          </w:p>
        </w:tc>
      </w:tr>
    </w:tbl>
    <w:p>
      <w:pPr>
        <w:spacing w:after="120"/>
      </w:pPr>
      <w:r>
        <w:t xml:space="preserve"/>
      </w:r>
    </w:p>
    <w:p>
      <w:pPr>
        <w:pStyle w:val="Heading3"/>
        <w:spacing w:after="80" w:before="200"/>
      </w:pPr>
      <w:r>
        <w:rPr>
          <w:b/>
          <w:bCs/>
          <w:color w:val="333333"/>
        </w:rPr>
        <w:t xml:space="preserve">Commit 7 — the compile-error correction (“we wrote it wrong, then fixed 35 errors”)</w:t>
      </w:r>
    </w:p>
    <w:p>
      <w:pPr>
        <w:spacing w:after="120"/>
      </w:pPr>
      <w:r>
        <w:t xml:space="preserve">The exact sequence was: write it → discover 35 compile errors → fix all 14 files → recompile clean → commit → push. This is worth being upfront about with the team — it's a normal part of the process, not a sign anything was rushed: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350"/>
        <w:gridCol w:w="4000"/>
      </w:tblGrid>
      <w:tr>
        <w:trPr>
          <w:tblHeader/>
        </w:trPr>
        <w:tc>
          <w:tcPr>
            <w:tcW w:type="dxa" w:w="5350"/>
            <w:shd w:fill="1F3864" w:val="clear"/>
            <w:tcMar>
              <w:top w:type="dxa" w:w="80"/>
              <w:left w:type="dxa" w:w="100"/>
              <w:bottom w:type="dxa" w:w="80"/>
              <w:right w:type="dxa" w:w="100"/>
            </w:tcMar>
            <w:vAlign w:val="center"/>
          </w:tcPr>
          <w:p>
            <w:r>
              <w:rPr>
                <w:b/>
                <w:bCs/>
                <w:color w:val="FFFFFF"/>
                <w:sz w:val="20"/>
                <w:szCs w:val="20"/>
              </w:rPr>
              <w:t xml:space="preserve">Path</w:t>
            </w:r>
          </w:p>
        </w:tc>
        <w:tc>
          <w:tcPr>
            <w:tcW w:type="dxa" w:w="4000"/>
            <w:shd w:fill="1F3864" w:val="clear"/>
            <w:tcMar>
              <w:top w:type="dxa" w:w="80"/>
              <w:left w:type="dxa" w:w="100"/>
              <w:bottom w:type="dxa" w:w="80"/>
              <w:right w:type="dxa" w:w="100"/>
            </w:tcMar>
            <w:vAlign w:val="center"/>
          </w:tcPr>
          <w:p>
            <w:r>
              <w:rPr>
                <w:b/>
                <w:bCs/>
                <w:color w:val="FFFFFF"/>
                <w:sz w:val="20"/>
                <w:szCs w:val="20"/>
              </w:rPr>
              <w:t xml:space="preserve">What was wrong → fix</w:t>
            </w:r>
          </w:p>
        </w:tc>
      </w:tr>
      <w:tr>
        <w:tc>
          <w:tcPr>
            <w:tcW w:type="dxa" w:w="5350"/>
            <w:shd w:fill="FFFFFF" w:val="clear"/>
            <w:tcMar>
              <w:top w:type="dxa" w:w="70"/>
              <w:left w:type="dxa" w:w="100"/>
              <w:bottom w:type="dxa" w:w="70"/>
              <w:right w:type="dxa" w:w="100"/>
            </w:tcMar>
            <w:vAlign w:val="center"/>
          </w:tcPr>
          <w:p>
            <w:r>
              <w:rPr>
                <w:rFonts w:ascii="Consolas" w:cs="Consolas" w:eastAsia="Consolas" w:hAnsi="Consolas"/>
                <w:color w:val="8A2BE2"/>
                <w:sz w:val="18"/>
                <w:szCs w:val="18"/>
              </w:rPr>
              <w:t xml:space="preserve">mart-entities/.../entity/ExportJobStatus.java</w:t>
            </w:r>
          </w:p>
        </w:tc>
        <w:tc>
          <w:tcPr>
            <w:tcW w:type="dxa" w:w="4000"/>
            <w:shd w:fill="FFFFFF" w:val="clear"/>
            <w:tcMar>
              <w:top w:type="dxa" w:w="70"/>
              <w:left w:type="dxa" w:w="100"/>
              <w:bottom w:type="dxa" w:w="70"/>
              <w:right w:type="dxa" w:w="100"/>
            </w:tcMar>
            <w:vAlign w:val="center"/>
          </w:tcPr>
          <w:p>
            <w:r>
              <w:rPr>
                <w:sz w:val="20"/>
                <w:szCs w:val="20"/>
              </w:rPr>
              <w:t xml:space="preserve">Missing import — added it</w:t>
            </w:r>
          </w:p>
        </w:tc>
      </w:tr>
      <w:tr>
        <w:tc>
          <w:tcPr>
            <w:tcW w:type="dxa" w:w="5350"/>
            <w:shd w:fill="F2F6F6" w:val="clear"/>
            <w:tcMar>
              <w:top w:type="dxa" w:w="70"/>
              <w:left w:type="dxa" w:w="100"/>
              <w:bottom w:type="dxa" w:w="70"/>
              <w:right w:type="dxa" w:w="100"/>
            </w:tcMar>
            <w:vAlign w:val="center"/>
          </w:tcPr>
          <w:p>
            <w:r>
              <w:rPr>
                <w:rFonts w:ascii="Consolas" w:cs="Consolas" w:eastAsia="Consolas" w:hAnsi="Consolas"/>
                <w:color w:val="8A2BE2"/>
                <w:sz w:val="18"/>
                <w:szCs w:val="18"/>
              </w:rPr>
              <w:t xml:space="preserve">GetInstockKpisFromService.java, GetWorstFsnsFromService.java, GetInstockCitiesFromService.java, GetCitySubPivotsFromService.java</w:t>
            </w:r>
          </w:p>
        </w:tc>
        <w:tc>
          <w:tcPr>
            <w:tcW w:type="dxa" w:w="4000"/>
            <w:shd w:fill="F2F6F6" w:val="clear"/>
            <w:tcMar>
              <w:top w:type="dxa" w:w="70"/>
              <w:left w:type="dxa" w:w="100"/>
              <w:bottom w:type="dxa" w:w="70"/>
              <w:right w:type="dxa" w:w="100"/>
            </w:tcMar>
            <w:vAlign w:val="center"/>
          </w:tcPr>
          <w:p>
            <w:r>
              <w:rPr>
                <w:sz w:val="20"/>
                <w:szCs w:val="20"/>
              </w:rPr>
              <w:t xml:space="preserve">compareVs wasn't marked required in code — added @IfAbsent(FAIL); filters/subPivotType wrongly typed as plain instead of Optional&lt;T&gt; — fixed</w:t>
            </w:r>
          </w:p>
        </w:tc>
      </w:tr>
      <w:tr>
        <w:tc>
          <w:tcPr>
            <w:tcW w:type="dxa" w:w="5350"/>
            <w:shd w:fill="FFFFFF" w:val="clear"/>
            <w:tcMar>
              <w:top w:type="dxa" w:w="70"/>
              <w:left w:type="dxa" w:w="100"/>
              <w:bottom w:type="dxa" w:w="70"/>
              <w:right w:type="dxa" w:w="100"/>
            </w:tcMar>
            <w:vAlign w:val="center"/>
          </w:tcPr>
          <w:p>
            <w:r>
              <w:rPr>
                <w:rFonts w:ascii="Consolas" w:cs="Consolas" w:eastAsia="Consolas" w:hAnsi="Consolas"/>
                <w:color w:val="8A2BE2"/>
                <w:sz w:val="18"/>
                <w:szCs w:val="18"/>
              </w:rPr>
              <w:t xml:space="preserve">GetInstockKpis.java, GetWorstFsns.java, GetInstockCities.java, GetExportJob.java, GetCitySubPivots.java</w:t>
            </w:r>
          </w:p>
        </w:tc>
        <w:tc>
          <w:tcPr>
            <w:tcW w:type="dxa" w:w="4000"/>
            <w:shd w:fill="FFFFFF" w:val="clear"/>
            <w:tcMar>
              <w:top w:type="dxa" w:w="70"/>
              <w:left w:type="dxa" w:w="100"/>
              <w:bottom w:type="dxa" w:w="70"/>
              <w:right w:type="dxa" w:w="100"/>
            </w:tcMar>
            <w:vAlign w:val="center"/>
          </w:tcPr>
          <w:p>
            <w:r>
              <w:rPr>
                <w:sz w:val="20"/>
                <w:szCs w:val="20"/>
              </w:rPr>
              <w:t xml:space="preserve">Same @IfAbsent(FAIL)/Optional&lt;T&gt; fix, plus: the REST-response dependency was being read directly instead of wrapped in Errable&lt;T&gt; — fixed in all 5</w:t>
            </w:r>
          </w:p>
        </w:tc>
      </w:tr>
      <w:tr>
        <w:tc>
          <w:tcPr>
            <w:tcW w:type="dxa" w:w="5350"/>
            <w:shd w:fill="F2F6F6" w:val="clear"/>
            <w:tcMar>
              <w:top w:type="dxa" w:w="70"/>
              <w:left w:type="dxa" w:w="100"/>
              <w:bottom w:type="dxa" w:w="70"/>
              <w:right w:type="dxa" w:w="100"/>
            </w:tcMar>
            <w:vAlign w:val="center"/>
          </w:tcPr>
          <w:p>
            <w:r>
              <w:rPr>
                <w:rFonts w:ascii="Consolas" w:cs="Consolas" w:eastAsia="Consolas" w:hAnsi="Consolas"/>
                <w:color w:val="8A2BE2"/>
                <w:sz w:val="18"/>
                <w:szCs w:val="18"/>
              </w:rPr>
              <w:t xml:space="preserve">InstockKPIsGraphQLAggregator.java, WorstFsnsGraphQLAggregator.java, InstockCitiesGraphQLAggregator.java, CitySubPivotsGraphQLAggregator.java</w:t>
            </w:r>
          </w:p>
        </w:tc>
        <w:tc>
          <w:tcPr>
            <w:tcW w:type="dxa" w:w="4000"/>
            <w:shd w:fill="F2F6F6" w:val="clear"/>
            <w:tcMar>
              <w:top w:type="dxa" w:w="70"/>
              <w:left w:type="dxa" w:w="100"/>
              <w:bottom w:type="dxa" w:w="70"/>
              <w:right w:type="dxa" w:w="100"/>
            </w:tcMar>
            <w:vAlign w:val="center"/>
          </w:tcPr>
          <w:p>
            <w:r>
              <w:rPr>
                <w:sz w:val="20"/>
                <w:szCs w:val="20"/>
              </w:rPr>
              <w:t xml:space="preserve">Same filters/subPivotType → Optional&lt;T&gt; fix</w:t>
            </w:r>
          </w:p>
        </w:tc>
      </w:tr>
    </w:tbl>
    <w:p>
      <w:pPr>
        <w:spacing w:after="120"/>
      </w:pPr>
      <w:r>
        <w:t xml:space="preserve"/>
      </w:r>
    </w:p>
    <w:p>
      <w:pPr>
        <w:spacing w:after="120"/>
      </w:pPr>
      <w:r>
        <w:t xml:space="preserve">Each of the 5 built operations includes, in full: a service-client method in MeridianServiceNonBlockingClient, response DTOs, entries in both YAML service-spec files (definition + execution), GraphQL entity classes, and the complete 3-layer Vajram chain (IO → Compute → Aggregator).</w:t>
      </w:r>
    </w:p>
    <w:p>
      <w:pPr>
        <w:pStyle w:val="Heading1"/>
        <w:pBdr>
          <w:bottom w:val="single" w:color="0F6B72" w:sz="8" w:space="4"/>
        </w:pBdr>
        <w:spacing w:after="200" w:before="400"/>
      </w:pPr>
      <w:r>
        <w:rPr>
          <w:b/>
          <w:bCs/>
          <w:color w:val="1F3864"/>
        </w:rPr>
        <w:t xml:space="preserve">8. What Is Still Not Built, and Why</w:t>
      </w:r>
    </w:p>
    <w:p>
      <w:pPr>
        <w:pStyle w:val="Heading3"/>
        <w:spacing w:after="80" w:before="200"/>
      </w:pPr>
      <w:r>
        <w:rPr>
          <w:b/>
          <w:bCs/>
          <w:color w:val="333333"/>
        </w:rPr>
        <w:t xml:space="preserve">6 mechanical operations — no open questions, just need to be written</w:t>
      </w:r>
    </w:p>
    <w:p>
      <w:pPr>
        <w:pStyle w:val="ListParagraph"/>
        <w:numPr>
          <w:ilvl w:val="0"/>
          <w:numId w:val="2"/>
        </w:numPr>
        <w:spacing w:after="80"/>
      </w:pPr>
      <w:r>
        <w:t xml:space="preserve">cityDarkStores</w:t>
      </w:r>
    </w:p>
    <w:p>
      <w:pPr>
        <w:pStyle w:val="ListParagraph"/>
        <w:numPr>
          <w:ilvl w:val="0"/>
          <w:numId w:val="2"/>
        </w:numPr>
        <w:spacing w:after="80"/>
      </w:pPr>
      <w:r>
        <w:t xml:space="preserve">rootCauseDrillDown (see complex list below — mechanical part only once dispatch is confirmed)</w:t>
      </w:r>
    </w:p>
    <w:p>
      <w:pPr>
        <w:pStyle w:val="ListParagraph"/>
        <w:numPr>
          <w:ilvl w:val="0"/>
          <w:numId w:val="2"/>
        </w:numPr>
        <w:spacing w:after="80"/>
      </w:pPr>
      <w:r>
        <w:t xml:space="preserve">instockCityOptions</w:t>
      </w:r>
    </w:p>
    <w:p>
      <w:pPr>
        <w:pStyle w:val="ListParagraph"/>
        <w:numPr>
          <w:ilvl w:val="0"/>
          <w:numId w:val="2"/>
        </w:numPr>
        <w:spacing w:after="80"/>
      </w:pPr>
      <w:r>
        <w:t xml:space="preserve">instockDarkStoreOptions</w:t>
      </w:r>
    </w:p>
    <w:p>
      <w:pPr>
        <w:pStyle w:val="ListParagraph"/>
        <w:numPr>
          <w:ilvl w:val="0"/>
          <w:numId w:val="2"/>
        </w:numPr>
        <w:spacing w:after="80"/>
      </w:pPr>
      <w:r>
        <w:t xml:space="preserve">instockSourcingHubOptions</w:t>
      </w:r>
    </w:p>
    <w:p>
      <w:pPr>
        <w:pStyle w:val="ListParagraph"/>
        <w:numPr>
          <w:ilvl w:val="0"/>
          <w:numId w:val="2"/>
        </w:numPr>
        <w:spacing w:after="80"/>
      </w:pPr>
      <w:r>
        <w:t xml:space="preserve">instockFsnTaxonomy</w:t>
      </w:r>
    </w:p>
    <w:p>
      <w:pPr>
        <w:pStyle w:val="Heading3"/>
        <w:spacing w:after="80" w:before="200"/>
      </w:pPr>
      <w:r>
        <w:rPr>
          <w:b/>
          <w:bCs/>
          <w:color w:val="333333"/>
        </w:rPr>
        <w:t xml:space="preserve">2 genuinely complex operations — each flagged with its specific open question</w:t>
      </w:r>
    </w:p>
    <w:p>
      <w:pPr>
        <w:pStyle w:val="ListParagraph"/>
        <w:numPr>
          <w:ilvl w:val="0"/>
          <w:numId w:val="2"/>
        </w:numPr>
        <w:spacing w:after="80"/>
      </w:pPr>
      <w:r>
        <w:rPr>
          <w:b/>
          <w:bCs/>
        </w:rPr>
        <w:t xml:space="preserve">lowInstockStores</w:t>
      </w:r>
      <w:r>
        <w:t xml:space="preserve"> — GraphQL needs cityCode and cityName as two separate fields, but the REST endpoint only returns a single combined city display-name string. Needs a decision: either add a field to the REST response, or drop the split from the GraphQL schema.</w:t>
      </w:r>
    </w:p>
    <w:p>
      <w:pPr>
        <w:pStyle w:val="ListParagraph"/>
        <w:numPr>
          <w:ilvl w:val="0"/>
          <w:numId w:val="2"/>
        </w:numPr>
        <w:spacing w:after="80"/>
      </w:pPr>
      <w:r>
        <w:rPr>
          <w:b/>
          <w:bCs/>
        </w:rPr>
        <w:t xml:space="preserve">createExportJob</w:t>
      </w:r>
      <w:r>
        <w:t xml:space="preserve"> — needs to dispatch to two different REST endpoints depending on the export type: one for the OOS (out-of-stock) report, another for the 4 RCA (root-cause-analysis) export types. Needs the dispatch logic confirmed.</w:t>
      </w:r>
    </w:p>
    <w:p>
      <w:pPr>
        <w:pStyle w:val="ListParagraph"/>
        <w:numPr>
          <w:ilvl w:val="0"/>
          <w:numId w:val="2"/>
        </w:numPr>
        <w:spacing w:after="80"/>
      </w:pPr>
      <w:r>
        <w:rPr>
          <w:b/>
          <w:bCs/>
        </w:rPr>
        <w:t xml:space="preserve">rootCauseDrillDown</w:t>
      </w:r>
      <w:r>
        <w:t xml:space="preserve"> — a GraphQL union type that needs to dispatch to 4 different REST endpoints depending on the value of a “bucket” argument. Needs the exact bucket-to-endpoint mapping confirmed before it can be built.</w:t>
      </w:r>
    </w:p>
    <w:p>
      <w:pPr>
        <w:pStyle w:val="Heading1"/>
        <w:pBdr>
          <w:bottom w:val="single" w:color="0F6B72" w:sz="8" w:space="4"/>
        </w:pBdr>
        <w:spacing w:after="200" w:before="400"/>
      </w:pPr>
      <w:r>
        <w:rPr>
          <w:b/>
          <w:bCs/>
          <w:color w:val="1F3864"/>
        </w:rPr>
        <w:t xml:space="preserve">9. Real Bugs Found and Fixed</w:t>
      </w:r>
    </w:p>
    <w:p>
      <w:pPr>
        <w:pStyle w:val="Heading3"/>
        <w:spacing w:after="80" w:before="200"/>
      </w:pPr>
      <w:r>
        <w:rPr>
          <w:b/>
          <w:bCs/>
          <w:color w:val="333333"/>
        </w:rPr>
        <w:t xml:space="preserve">Bug 1 — VajramId collision</w:t>
      </w:r>
    </w:p>
    <w:p>
      <w:pPr>
        <w:spacing w:after="120"/>
      </w:pPr>
      <w:r>
        <w:t xml:space="preserve">instockCityOptions, instockDarkStoreOptions, instockSourcingHubOptions, and instockFsnTaxonomy all pointed at the </w:t>
      </w:r>
      <w:r>
        <w:rPr>
          <w:b/>
          <w:bCs/>
        </w:rPr>
        <w:t xml:space="preserve">same</w:t>
      </w:r>
      <w:r>
        <w:t xml:space="preserve"> vajramId, despite each needing to return a different type. One Aggregator class cannot serve four different return types. </w:t>
      </w:r>
      <w:r>
        <w:rPr>
          <w:b/>
          <w:bCs/>
        </w:rPr>
        <w:t xml:space="preserve">Fix: </w:t>
      </w:r>
      <w:r>
        <w:t xml:space="preserve">split into 4 distinct vajramIds — committed separately as Commit 3, above. Internal-only fix, invisible to the UI/frontend contract.</w:t>
      </w:r>
    </w:p>
    <w:p>
      <w:pPr>
        <w:pStyle w:val="Heading3"/>
        <w:spacing w:after="80" w:before="200"/>
      </w:pPr>
      <w:r>
        <w:rPr>
          <w:b/>
          <w:bCs/>
          <w:color w:val="333333"/>
        </w:rPr>
        <w:t xml:space="preserve">Bug 2 (false alarm, but worth knowing the reasoning) — bare-args framework binding concern</w:t>
      </w:r>
    </w:p>
    <w:p>
      <w:pPr>
        <w:spacing w:after="120"/>
      </w:pPr>
      <w:r>
        <w:t xml:space="preserve">A worry was raised that bare-style GraphQL arguments (e.g. </w:t>
      </w:r>
      <w:r>
        <w:rPr>
          <w:rFonts w:ascii="Consolas" w:cs="Consolas" w:eastAsia="Consolas" w:hAnsi="Consolas"/>
          <w:color w:val="8A2BE2"/>
          <w:sz w:val="20"/>
          <w:szCs w:val="20"/>
        </w:rPr>
        <w:t xml:space="preserve">compareVs</w:t>
      </w:r>
      <w:r>
        <w:t xml:space="preserve">, </w:t>
      </w:r>
      <w:r>
        <w:rPr>
          <w:rFonts w:ascii="Consolas" w:cs="Consolas" w:eastAsia="Consolas" w:hAnsi="Consolas"/>
          <w:color w:val="8A2BE2"/>
          <w:sz w:val="20"/>
          <w:szCs w:val="20"/>
        </w:rPr>
        <w:t xml:space="preserve">filters</w:t>
      </w:r>
      <w:r>
        <w:t xml:space="preserve"> passed directly, not wrapped in a single input object) might not bind correctly to Vajram facets — based on finding one utility method that only special-cased an argument literally named </w:t>
      </w:r>
      <w:r>
        <w:rPr>
          <w:rFonts w:ascii="Consolas" w:cs="Consolas" w:eastAsia="Consolas" w:hAnsi="Consolas"/>
          <w:color w:val="8A2BE2"/>
          <w:sz w:val="20"/>
          <w:szCs w:val="20"/>
        </w:rPr>
        <w:t xml:space="preserve">"input"</w:t>
      </w:r>
      <w:r>
        <w:t xml:space="preserve">. Resolved by finding other real, working examples in the same codebase (e.g. </w:t>
      </w:r>
      <w:r>
        <w:rPr>
          <w:rFonts w:ascii="Consolas" w:cs="Consolas" w:eastAsia="Consolas" w:hAnsi="Consolas"/>
          <w:color w:val="8A2BE2"/>
          <w:sz w:val="20"/>
          <w:szCs w:val="20"/>
        </w:rPr>
        <w:t xml:space="preserve">listing(listingId: ID)</w:t>
      </w:r>
      <w:r>
        <w:t xml:space="preserve">) proving bare-name binding works fine through the framework generically. No fix was needed — but it was checked and confirmed rather than just assumed either way.</w:t>
      </w:r>
    </w:p>
    <w:p>
      <w:pPr>
        <w:pStyle w:val="Heading3"/>
        <w:spacing w:after="80" w:before="200"/>
      </w:pPr>
      <w:r>
        <w:rPr>
          <w:b/>
          <w:bCs/>
          <w:color w:val="333333"/>
        </w:rPr>
        <w:t xml:space="preserve">Bug 3 — the Commit 7 compile-error batch (35 errors, 14 files)</w:t>
      </w:r>
    </w:p>
    <w:p>
      <w:pPr>
        <w:spacing w:after="120"/>
      </w:pPr>
      <w:r>
        <w:t xml:space="preserve">Covered in full in Section 7 above. Root causes were consistent across files: compareVs not marked required at the code level (missing @IfAbsent(FAIL)), and filters/subPivotType wrongly typed as plain values instead of Optional&lt;T&gt;, plus one case of a REST-response dependency read directly instead of properly wrapped in Errable&lt;T&gt;. All fixed in the same commit, then verified with a clean recompile before pushing.</w:t>
      </w:r>
    </w:p>
    <w:p>
      <w:pPr>
        <w:pStyle w:val="Heading1"/>
        <w:pBdr>
          <w:bottom w:val="single" w:color="0F6B72" w:sz="8" w:space="4"/>
        </w:pBdr>
        <w:spacing w:after="200" w:before="400"/>
      </w:pPr>
      <w:r>
        <w:rPr>
          <w:b/>
          <w:bCs/>
          <w:color w:val="1F3864"/>
        </w:rPr>
        <w:t xml:space="preserve">10. Key Technical Mechanisms Verified Against Real Source Code</w:t>
      </w:r>
    </w:p>
    <w:p>
      <w:pPr>
        <w:spacing w:after="120"/>
      </w:pPr>
      <w:r>
        <w:t xml:space="preserve">A recurring theme throughout: claims from docs/summaries were checked against the actual repo rather than trusted at face value.</w:t>
      </w:r>
    </w:p>
    <w:p>
      <w:pPr>
        <w:pStyle w:val="Heading3"/>
        <w:spacing w:after="80" w:before="200"/>
      </w:pPr>
      <w:r>
        <w:rPr>
          <w:b/>
          <w:bCs/>
          <w:color w:val="333333"/>
        </w:rPr>
        <w:t xml:space="preserve">A. Error surfacing</w:t>
      </w:r>
    </w:p>
    <w:p>
      <w:pPr>
        <w:spacing w:after="120"/>
      </w:pPr>
      <w:r>
        <w:t xml:space="preserve">Confirmed via </w:t>
      </w:r>
      <w:r>
        <w:rPr>
          <w:rFonts w:ascii="Consolas" w:cs="Consolas" w:eastAsia="Consolas" w:hAnsi="Consolas"/>
          <w:color w:val="8A2BE2"/>
          <w:sz w:val="20"/>
          <w:szCs w:val="20"/>
        </w:rPr>
        <w:t xml:space="preserve">OrchestratorServiceImpl.getGraphQLResponse()</w:t>
      </w:r>
      <w:r>
        <w:t xml:space="preserve">: a thrown exception inside an Aggregator's Output method is caught by graphql-java's own default exception handling (this repo has no custom handler), wrapped as a GraphQLError, and surfaces in the response's </w:t>
      </w:r>
      <w:r>
        <w:rPr>
          <w:rFonts w:ascii="Consolas" w:cs="Consolas" w:eastAsia="Consolas" w:hAnsi="Consolas"/>
          <w:color w:val="8A2BE2"/>
          <w:sz w:val="20"/>
          <w:szCs w:val="20"/>
        </w:rPr>
        <w:t xml:space="preserve">graphErrors</w:t>
      </w:r>
      <w:r>
        <w:t xml:space="preserve"> array — while the HTTP status still returns 200. </w:t>
      </w:r>
      <w:r>
        <w:rPr>
          <w:rFonts w:ascii="Consolas" w:cs="Consolas" w:eastAsia="Consolas" w:hAnsi="Consolas"/>
          <w:color w:val="8A2BE2"/>
          <w:sz w:val="20"/>
          <w:szCs w:val="20"/>
        </w:rPr>
        <w:t xml:space="preserve">dataErrors</w:t>
      </w:r>
      <w:r>
        <w:t xml:space="preserve"> is a distinct mechanism for partial failures within a single composite object.</w:t>
      </w:r>
    </w:p>
    <w:p>
      <w:pPr>
        <w:pStyle w:val="Heading3"/>
        <w:spacing w:after="80" w:before="200"/>
      </w:pPr>
      <w:r>
        <w:rPr>
          <w:b/>
          <w:bCs/>
          <w:color w:val="333333"/>
        </w:rPr>
        <w:t xml:space="preserve">B. Service-to-service auth</w:t>
      </w:r>
    </w:p>
    <w:p>
      <w:pPr>
        <w:spacing w:after="120"/>
      </w:pPr>
      <w:r>
        <w:t xml:space="preserve">Traced </w:t>
      </w:r>
      <w:r>
        <w:rPr>
          <w:rFonts w:ascii="Consolas" w:cs="Consolas" w:eastAsia="Consolas" w:hAnsi="Consolas"/>
          <w:color w:val="8A2BE2"/>
          <w:sz w:val="20"/>
          <w:szCs w:val="20"/>
        </w:rPr>
        <w:t xml:space="preserve">MartRequestContext</w:t>
      </w:r>
      <w:r>
        <w:t xml:space="preserve"> construction inside </w:t>
      </w:r>
      <w:r>
        <w:rPr>
          <w:rFonts w:ascii="Consolas" w:cs="Consolas" w:eastAsia="Consolas" w:hAnsi="Consolas"/>
          <w:color w:val="8A2BE2"/>
          <w:sz w:val="20"/>
          <w:szCs w:val="20"/>
        </w:rPr>
        <w:t xml:space="preserve">OrchestratorModule.java</w:t>
      </w:r>
      <w:r>
        <w:t xml:space="preserve"> and found it </w:t>
      </w:r>
      <w:r>
        <w:rPr>
          <w:b/>
          <w:bCs/>
        </w:rPr>
        <w:t xml:space="preserve">never</w:t>
      </w:r>
      <w:r>
        <w:t xml:space="preserve"> captures an Authorization header. The real, live pattern found instead: the </w:t>
      </w:r>
      <w:r>
        <w:rPr>
          <w:rFonts w:ascii="Consolas" w:cs="Consolas" w:eastAsia="Consolas" w:hAnsi="Consolas"/>
          <w:color w:val="8A2BE2"/>
          <w:sz w:val="20"/>
          <w:szCs w:val="20"/>
        </w:rPr>
        <w:t xml:space="preserve">AuthTokenService</w:t>
      </w:r>
      <w:r>
        <w:t xml:space="preserve"> / </w:t>
      </w:r>
      <w:r>
        <w:rPr>
          <w:rFonts w:ascii="Consolas" w:cs="Consolas" w:eastAsia="Consolas" w:hAnsi="Consolas"/>
          <w:color w:val="8A2BE2"/>
          <w:sz w:val="20"/>
          <w:szCs w:val="20"/>
        </w:rPr>
        <w:t xml:space="preserve">GetAuthnToken</w:t>
      </w:r>
      <w:r>
        <w:t xml:space="preserve"> Vajram, which uses Flipkart's internal Authn service via a </w:t>
      </w:r>
      <w:r>
        <w:rPr>
          <w:rFonts w:ascii="Consolas" w:cs="Consolas" w:eastAsia="Consolas" w:hAnsi="Consolas"/>
          <w:color w:val="8A2BE2"/>
          <w:sz w:val="20"/>
          <w:szCs w:val="20"/>
        </w:rPr>
        <w:t xml:space="preserve">targetClientId</w:t>
      </w:r>
      <w:r>
        <w:t xml:space="preserve">. The same singleton is wired in </w:t>
      </w:r>
      <w:r>
        <w:rPr>
          <w:rFonts w:ascii="Consolas" w:cs="Consolas" w:eastAsia="Consolas" w:hAnsi="Consolas"/>
          <w:color w:val="8A2BE2"/>
          <w:sz w:val="20"/>
          <w:szCs w:val="20"/>
        </w:rPr>
        <w:t xml:space="preserve">OrchestratorModule.authTokenService()</w:t>
      </w:r>
      <w:r>
        <w:t xml:space="preserve">, with real credentials living in </w:t>
      </w:r>
      <w:r>
        <w:rPr>
          <w:rFonts w:ascii="Consolas" w:cs="Consolas" w:eastAsia="Consolas" w:hAnsi="Consolas"/>
          <w:color w:val="8A2BE2"/>
          <w:sz w:val="20"/>
          <w:szCs w:val="20"/>
        </w:rPr>
        <w:t xml:space="preserve">kubernetes/helm-directory/config/prod/config.yaml</w:t>
      </w:r>
      <w:r>
        <w:t xml:space="preserve">. </w:t>
      </w:r>
      <w:r>
        <w:rPr>
          <w:b/>
          <w:bCs/>
        </w:rPr>
        <w:t xml:space="preserve">Still missing: </w:t>
      </w:r>
      <w:r>
        <w:t xml:space="preserve">the specific targetClientId string — see Section 16 for exactly who to ask.</w:t>
      </w:r>
    </w:p>
    <w:p>
      <w:pPr>
        <w:pStyle w:val="Heading3"/>
        <w:spacing w:after="80" w:before="200"/>
      </w:pPr>
      <w:r>
        <w:rPr>
          <w:b/>
          <w:bCs/>
          <w:color w:val="333333"/>
        </w:rPr>
        <w:t xml:space="preserve">C. Runtime config resolution</w:t>
      </w:r>
    </w:p>
    <w:p>
      <w:pPr>
        <w:spacing w:after="120"/>
      </w:pPr>
      <w:r>
        <w:t xml:space="preserve">Placeholders of the form </w:t>
      </w:r>
      <w:r>
        <w:rPr>
          <w:rFonts w:ascii="Consolas" w:cs="Consolas" w:eastAsia="Consolas" w:hAnsi="Consolas"/>
          <w:color w:val="8A2BE2"/>
          <w:sz w:val="20"/>
          <w:szCs w:val="20"/>
        </w:rPr>
        <w:t xml:space="preserve">${meridianService.httpInitOptions.host}</w:t>
      </w:r>
      <w:r>
        <w:t xml:space="preserve"> resolve at runtime from a </w:t>
      </w:r>
      <w:r>
        <w:rPr>
          <w:b/>
          <w:bCs/>
        </w:rPr>
        <w:t xml:space="preserve">remote config bucket</w:t>
      </w:r>
      <w:r>
        <w:t xml:space="preserve"> (fk-mart-api-orchestrator-config) — </w:t>
      </w:r>
      <w:r>
        <w:rPr>
          <w:b/>
          <w:bCs/>
        </w:rPr>
        <w:t xml:space="preserve">not</w:t>
      </w:r>
      <w:r>
        <w:t xml:space="preserve"> from anything committed in git. Confirmed via </w:t>
      </w:r>
      <w:r>
        <w:rPr>
          <w:rFonts w:ascii="Consolas" w:cs="Consolas" w:eastAsia="Consolas" w:hAnsi="Consolas"/>
          <w:color w:val="8A2BE2"/>
          <w:sz w:val="20"/>
          <w:szCs w:val="20"/>
        </w:rPr>
        <w:t xml:space="preserve">CustomConfigBucketFetcher.java</w:t>
      </w:r>
      <w:r>
        <w:t xml:space="preserve">. </w:t>
      </w:r>
      <w:r>
        <w:rPr>
          <w:b/>
          <w:bCs/>
        </w:rPr>
        <w:t xml:space="preserve">Still missing: </w:t>
      </w:r>
      <w:r>
        <w:t xml:space="preserve">real host/port values need to be added to that bucket — see Section 16.</w:t>
      </w:r>
    </w:p>
    <w:p>
      <w:pPr>
        <w:pStyle w:val="Heading3"/>
        <w:spacing w:after="80" w:before="200"/>
      </w:pPr>
      <w:r>
        <w:rPr>
          <w:b/>
          <w:bCs/>
          <w:color w:val="333333"/>
        </w:rPr>
        <w:t xml:space="preserve">D. Local-run setup and a security risk caught in it</w:t>
      </w:r>
    </w:p>
    <w:p>
      <w:pPr>
        <w:spacing w:after="120"/>
      </w:pPr>
      <w:r>
        <w:t xml:space="preserve">A teammate's local-run guide for IntelliJ was a 6-step process (cfg-api bootstrap file, prod config CLI arg, javac --add-exports VM options for Krystal's codegen, Java 17).</w:t>
      </w:r>
    </w:p>
    <w:tbl>
      <w:tblPr>
        <w:tblW w:type="pct" w:w="100%"/>
        <w:tblBorders>
          <w:top w:val="single" w:color="B00020" w:sz="4"/>
          <w:left w:val="single" w:color="B00020" w:sz="24"/>
          <w:bottom w:val="single" w:color="B00020" w:sz="4"/>
          <w:right w:val="single" w:color="B00020" w:sz="4"/>
          <w:insideH w:val="single" w:color="auto" w:sz="4"/>
          <w:insideV w:val="single" w:color="auto" w:sz="4"/>
        </w:tblBorders>
      </w:tblPr>
      <w:tblGrid>
        <w:gridCol w:w="100"/>
      </w:tblGrid>
      <w:tr>
        <w:tc>
          <w:tcPr>
            <w:shd w:fill="FBEAEA" w:val="clear"/>
            <w:tcMar>
              <w:top w:type="dxa" w:w="120"/>
              <w:left w:type="dxa" w:w="180"/>
              <w:bottom w:type="dxa" w:w="120"/>
              <w:right w:type="dxa" w:w="180"/>
            </w:tcMar>
          </w:tcPr>
          <w:p>
            <w:pPr>
              <w:spacing w:after="60"/>
            </w:pPr>
            <w:r>
              <w:rPr>
                <w:b/>
                <w:bCs/>
                <w:color w:val="B00020"/>
              </w:rPr>
              <w:t xml:space="preserve">Flagged as must-not-commit</w:t>
            </w:r>
          </w:p>
          <w:p>
            <w:pPr>
              <w:spacing w:after="40"/>
            </w:pPr>
            <w:r>
              <w:t xml:space="preserve">Step 6 of that guide instructs hardcoding a clientSecret directly in OrchestratorModule.java. In production, a null value there correctly means “use the secure Kubernetes machine-identity token instead.” If the hardcoded secret were ever committed, it would replace that secure auth with a hardcoded secret sitting in the real production code path — a genuine security regression. Fine to use locally; must never be pushed.</w:t>
            </w:r>
          </w:p>
        </w:tc>
      </w:tr>
    </w:tbl>
    <w:p>
      <w:pPr>
        <w:spacing w:after="120"/>
      </w:pPr>
      <w:r>
        <w:t xml:space="preserve">Also confirmed: the local Harbor server runs at localhost:5123 once booted (per the repo's own live-query-regression-testing skill doc).</w:t>
      </w:r>
    </w:p>
    <w:p>
      <w:pPr>
        <w:pStyle w:val="Heading1"/>
        <w:pBdr>
          <w:bottom w:val="single" w:color="0F6B72" w:sz="8" w:space="4"/>
        </w:pBdr>
        <w:spacing w:after="200" w:before="400"/>
      </w:pPr>
      <w:r>
        <w:rPr>
          <w:b/>
          <w:bCs/>
          <w:color w:val="1F3864"/>
        </w:rPr>
        <w:t xml:space="preserve">11. Contract / Schema Corrections from UX Review</w:t>
      </w:r>
    </w:p>
    <w:p>
      <w:pPr>
        <w:pStyle w:val="ListParagraph"/>
        <w:numPr>
          <w:ilvl w:val="0"/>
          <w:numId w:val="2"/>
        </w:numPr>
        <w:spacing w:after="80"/>
      </w:pPr>
      <w:r>
        <w:rPr>
          <w:b/>
          <w:bCs/>
        </w:rPr>
        <w:t xml:space="preserve">Confirmed correct, no change needed: </w:t>
      </w:r>
      <w:r>
        <w:t xml:space="preserve">removal of the Product Drilldown endpoint — matches the current UX.</w:t>
      </w:r>
    </w:p>
    <w:p>
      <w:pPr>
        <w:pStyle w:val="ListParagraph"/>
        <w:numPr>
          <w:ilvl w:val="0"/>
          <w:numId w:val="2"/>
        </w:numPr>
        <w:spacing w:after="80"/>
      </w:pPr>
      <w:r>
        <w:rPr>
          <w:b/>
          <w:bCs/>
        </w:rPr>
        <w:t xml:space="preserve">Changed: </w:t>
      </w:r>
      <w:r>
        <w:rPr>
          <w:rFonts w:ascii="Consolas" w:cs="Consolas" w:eastAsia="Consolas" w:hAnsi="Consolas"/>
          <w:color w:val="8A2BE2"/>
          <w:sz w:val="20"/>
          <w:szCs w:val="20"/>
        </w:rPr>
        <w:t xml:space="preserve">compareVs</w:t>
      </w:r>
      <w:r>
        <w:t xml:space="preserve"> — was previously Optional (defaulting to LAST_SNAPSHOT); is now </w:t>
      </w:r>
      <w:r>
        <w:rPr>
          <w:b/>
          <w:bCs/>
        </w:rPr>
        <w:t xml:space="preserve">Required</w:t>
      </w:r>
      <w:r>
        <w:t xml:space="preserve">, across all 6 endpoints that use it. Changed in api-contract.md, changed to </w:t>
      </w:r>
      <w:r>
        <w:rPr>
          <w:rFonts w:ascii="Consolas" w:cs="Consolas" w:eastAsia="Consolas" w:hAnsi="Consolas"/>
          <w:color w:val="8A2BE2"/>
          <w:sz w:val="20"/>
          <w:szCs w:val="20"/>
        </w:rPr>
        <w:t xml:space="preserve">CompareVs!</w:t>
      </w:r>
      <w:r>
        <w:t xml:space="preserve"> in the GraphQL schema, and </w:t>
      </w:r>
      <w:r>
        <w:rPr>
          <w:rFonts w:ascii="Consolas" w:cs="Consolas" w:eastAsia="Consolas" w:hAnsi="Consolas"/>
          <w:color w:val="8A2BE2"/>
          <w:sz w:val="20"/>
          <w:szCs w:val="20"/>
        </w:rPr>
        <w:t xml:space="preserve">@IfAbsent(FAIL)</w:t>
      </w:r>
      <w:r>
        <w:t xml:space="preserve"> added to the built Aggregators (Commit 6). Reasoning: unlike the other “uber filters,” compareVs has no meaningful “show all” state.</w:t>
      </w:r>
    </w:p>
    <w:p>
      <w:pPr>
        <w:pStyle w:val="Heading3"/>
        <w:spacing w:after="80" w:before="200"/>
      </w:pPr>
      <w:r>
        <w:rPr>
          <w:b/>
          <w:bCs/>
          <w:color w:val="333333"/>
        </w:rPr>
        <w:t xml:space="preserve">3 items still open — blocked on visual access, not resolved</w:t>
      </w:r>
    </w:p>
    <w:p>
      <w:pPr>
        <w:pStyle w:val="ListParagraph"/>
        <w:numPr>
          <w:ilvl w:val="0"/>
          <w:numId w:val="2"/>
        </w:numPr>
        <w:spacing w:after="80"/>
      </w:pPr>
      <w:r>
        <w:t xml:space="preserve">Whether </w:t>
      </w:r>
      <w:r>
        <w:rPr>
          <w:rFonts w:ascii="Consolas" w:cs="Consolas" w:eastAsia="Consolas" w:hAnsi="Consolas"/>
          <w:color w:val="8A2BE2"/>
          <w:sz w:val="20"/>
          <w:szCs w:val="20"/>
        </w:rPr>
        <w:t xml:space="preserve">fsn</w:t>
      </w:r>
      <w:r>
        <w:t xml:space="preserve"> should become </w:t>
      </w:r>
      <w:r>
        <w:rPr>
          <w:rFonts w:ascii="Consolas" w:cs="Consolas" w:eastAsia="Consolas" w:hAnsi="Consolas"/>
          <w:color w:val="8A2BE2"/>
          <w:sz w:val="20"/>
          <w:szCs w:val="20"/>
        </w:rPr>
        <w:t xml:space="preserve">fsns</w:t>
      </w:r>
      <w:r>
        <w:t xml:space="preserve"> (plural) in the RCA </w:t>
      </w:r>
      <w:r>
        <w:rPr>
          <w:rFonts w:ascii="Consolas" w:cs="Consolas" w:eastAsia="Consolas" w:hAnsi="Consolas"/>
          <w:color w:val="8A2BE2"/>
          <w:sz w:val="20"/>
          <w:szCs w:val="20"/>
        </w:rPr>
        <w:t xml:space="preserve">scope=FSN</w:t>
      </w:r>
      <w:r>
        <w:t xml:space="preserve"> filter — unclear whether this applies to 3 or 4 of the RCA endpoints.</w:t>
      </w:r>
    </w:p>
    <w:p>
      <w:pPr>
        <w:pStyle w:val="ListParagraph"/>
        <w:numPr>
          <w:ilvl w:val="0"/>
          <w:numId w:val="2"/>
        </w:numPr>
        <w:spacing w:after="80"/>
      </w:pPr>
      <w:r>
        <w:t xml:space="preserve">A “poor performing vs. all” toggle that the UX apparently specifies — could not be located.</w:t>
      </w:r>
    </w:p>
    <w:p>
      <w:pPr>
        <w:pStyle w:val="ListParagraph"/>
        <w:numPr>
          <w:ilvl w:val="0"/>
          <w:numId w:val="2"/>
        </w:numPr>
        <w:spacing w:after="80"/>
      </w:pPr>
      <w:r>
        <w:t xml:space="preserve">An “on-load pick list” for Instock Diagnostics' Product View — appears to be a genuinely new, previously undefined feature.</w:t>
      </w:r>
    </w:p>
    <w:tbl>
      <w:tblPr>
        <w:tblW w:type="pct" w:w="100%"/>
        <w:tblBorders>
          <w:top w:val="single" w:color="B00020" w:sz="4"/>
          <w:left w:val="single" w:color="B00020" w:sz="24"/>
          <w:bottom w:val="single" w:color="B00020" w:sz="4"/>
          <w:right w:val="single" w:color="B00020" w:sz="4"/>
          <w:insideH w:val="single" w:color="auto" w:sz="4"/>
          <w:insideV w:val="single" w:color="auto" w:sz="4"/>
        </w:tblBorders>
      </w:tblPr>
      <w:tblGrid>
        <w:gridCol w:w="100"/>
      </w:tblGrid>
      <w:tr>
        <w:tc>
          <w:tcPr>
            <w:shd w:fill="FBEAEA" w:val="clear"/>
            <w:tcMar>
              <w:top w:type="dxa" w:w="120"/>
              <w:left w:type="dxa" w:w="180"/>
              <w:bottom w:type="dxa" w:w="120"/>
              <w:right w:type="dxa" w:w="180"/>
            </w:tcMar>
          </w:tcPr>
          <w:p>
            <w:pPr>
              <w:spacing w:after="60"/>
            </w:pPr>
            <w:r>
              <w:rPr>
                <w:b/>
                <w:bCs/>
                <w:color w:val="B00020"/>
              </w:rPr>
              <w:t xml:space="preserve">Why these 3 are still open</w:t>
            </w:r>
          </w:p>
          <w:p>
            <w:pPr>
              <w:spacing w:after="40"/>
            </w:pPr>
            <w:r>
              <w:t xml:space="preserve">Both the Figma file (hit a seat/plan rate limit — not fixable by retrying) and the Netlify prototype (a client-rendered React SPA, so a fetch tool can only see the empty HTML shell, not the rendered screens) were inaccessible this session. These are dead ends until access is sorted out — flagged honestly rather than guessed at.</w:t>
            </w:r>
          </w:p>
        </w:tc>
      </w:tr>
    </w:tbl>
    <w:p>
      <w:pPr>
        <w:pStyle w:val="Heading1"/>
        <w:pBdr>
          <w:bottom w:val="single" w:color="0F6B72" w:sz="8" w:space="4"/>
        </w:pBdr>
        <w:spacing w:after="200" w:before="400"/>
      </w:pPr>
      <w:r>
        <w:rPr>
          <w:b/>
          <w:bCs/>
          <w:color w:val="1F3864"/>
        </w:rPr>
        <w:t xml:space="preserve">12. Access, Repo-Boundary, and Process Issues</w:t>
      </w:r>
    </w:p>
    <w:p>
      <w:pPr>
        <w:pStyle w:val="Heading3"/>
        <w:spacing w:after="80" w:before="200"/>
      </w:pPr>
      <w:r>
        <w:rPr>
          <w:b/>
          <w:bCs/>
          <w:color w:val="333333"/>
        </w:rPr>
        <w:t xml:space="preserve">Why Harbor's code can only live in Harbor's repo</w:t>
      </w:r>
    </w:p>
    <w:p>
      <w:pPr>
        <w:spacing w:after="120"/>
      </w:pPr>
      <w:r>
        <w:t xml:space="preserve">Harbor is a single running server at a fixed address, and the frontend's Apollo Client is hardcoded to call exactly one URL (</w:t>
      </w:r>
      <w:r>
        <w:rPr>
          <w:rFonts w:ascii="Consolas" w:cs="Consolas" w:eastAsia="Consolas" w:hAnsi="Consolas"/>
          <w:color w:val="8A2BE2"/>
          <w:sz w:val="20"/>
          <w:szCs w:val="20"/>
        </w:rPr>
        <w:t xml:space="preserve">meridianBackendUrl</w:t>
      </w:r>
      <w:r>
        <w:t xml:space="preserve">, found in the UI team's own HLD). A separate repo of our own would just be unreached, disconnected code — nothing would ever call it.</w:t>
      </w:r>
    </w:p>
    <w:p>
      <w:pPr>
        <w:pStyle w:val="Heading3"/>
        <w:spacing w:after="80" w:before="200"/>
      </w:pPr>
      <w:r>
        <w:rPr>
          <w:b/>
          <w:bCs/>
          <w:color w:val="333333"/>
        </w:rPr>
        <w:t xml:space="preserve">The write-access wall</w:t>
      </w:r>
    </w:p>
    <w:p>
      <w:pPr>
        <w:pStyle w:val="ListParagraph"/>
        <w:numPr>
          <w:ilvl w:val="0"/>
          <w:numId w:val="2"/>
        </w:numPr>
        <w:spacing w:after="80"/>
      </w:pPr>
      <w:r>
        <w:t xml:space="preserve">Hit a genuine GitHub write-permission denial on fk-mart-api-orchestrator — confirmed via a dry-run push, not a credential-loading fluke on one machine.</w:t>
      </w:r>
    </w:p>
    <w:p>
      <w:pPr>
        <w:pStyle w:val="ListParagraph"/>
        <w:numPr>
          <w:ilvl w:val="0"/>
          <w:numId w:val="2"/>
        </w:numPr>
        <w:spacing w:after="80"/>
      </w:pPr>
      <w:r>
        <w:t xml:space="preserve">Re-verified from a second terminal/account with the same denial, proving the account genuinely lacked write access — even though read access had worked the entire time.</w:t>
      </w:r>
    </w:p>
    <w:p>
      <w:pPr>
        <w:pStyle w:val="ListParagraph"/>
        <w:numPr>
          <w:ilvl w:val="0"/>
          <w:numId w:val="2"/>
        </w:numPr>
        <w:spacing w:after="80"/>
      </w:pPr>
      <w:r>
        <w:t xml:space="preserve">Alternatives were proposed and worked through concretely: “can't we just make our own repo” (no — nothing would call it) and “can't we change Vaibhav's app to point elsewhere” (no — that means editing a third team's repo without authorization, and would still need separate infra access to host anything).</w:t>
      </w:r>
    </w:p>
    <w:p>
      <w:pPr>
        <w:pStyle w:val="ListParagraph"/>
        <w:numPr>
          <w:ilvl w:val="0"/>
          <w:numId w:val="2"/>
        </w:numPr>
        <w:spacing w:after="80"/>
      </w:pPr>
      <w:r>
        <w:t xml:space="preserve">A related concern — “if lots of teams share one repo, doesn't that not make sense?” — was answered honestly: yes, it is genuinely painful, but the alternative (every team running its own orchestrator) is worse, and this is a known, deliberate industry pattern (e.g. monorepos at Google/Facebook) that trades repo-size pain for one unified schema.</w:t>
      </w:r>
    </w:p>
    <w:p>
      <w:pPr>
        <w:pStyle w:val="ListParagraph"/>
        <w:numPr>
          <w:ilvl w:val="0"/>
          <w:numId w:val="2"/>
        </w:numPr>
        <w:spacing w:after="80"/>
      </w:pPr>
      <w:r>
        <w:t xml:space="preserve">Resolution: access was granted via a teammate (“Ceds”). Every subsequent push was preceded by a safe dry-run check before the real push.</w:t>
      </w:r>
    </w:p>
    <w:p>
      <w:pPr>
        <w:pStyle w:val="Heading3"/>
        <w:spacing w:after="80" w:before="200"/>
      </w:pPr>
      <w:r>
        <w:rPr>
          <w:b/>
          <w:bCs/>
          <w:color w:val="333333"/>
        </w:rPr>
        <w:t xml:space="preserve">Getting a schema preview to the UI team before Harbor access came through</w:t>
      </w:r>
    </w:p>
    <w:p>
      <w:pPr>
        <w:spacing w:after="120"/>
      </w:pPr>
      <w:r>
        <w:t xml:space="preserve">The UI team (Vaibhav) wanted to browse the two real schema files on GitHub directly, not read pasted text — but Harbor access hadn't come through yet, while access to the meridian repo already existed.</w:t>
      </w:r>
    </w:p>
    <w:p>
      <w:pPr>
        <w:pStyle w:val="ListParagraph"/>
        <w:numPr>
          <w:ilvl w:val="0"/>
          <w:numId w:val="2"/>
        </w:numPr>
        <w:spacing w:after="80"/>
      </w:pPr>
      <w:r>
        <w:t xml:space="preserve">Used a separate git worktree, so as not to disturb unrelated in-progress work on another branch.</w:t>
      </w:r>
    </w:p>
    <w:p>
      <w:pPr>
        <w:pStyle w:val="ListParagraph"/>
        <w:numPr>
          <w:ilvl w:val="0"/>
          <w:numId w:val="2"/>
        </w:numPr>
        <w:spacing w:after="80"/>
      </w:pPr>
      <w:r>
        <w:t xml:space="preserve">Copied the real, current Replenishment.graphqls and query.graphqls into a new folder, added a README explicitly marking it as a non-canonical review copy.</w:t>
      </w:r>
    </w:p>
    <w:p>
      <w:pPr>
        <w:pStyle w:val="ListParagraph"/>
        <w:numPr>
          <w:ilvl w:val="0"/>
          <w:numId w:val="2"/>
        </w:numPr>
        <w:spacing w:after="80"/>
      </w:pPr>
      <w:r>
        <w:t xml:space="preserve">Committed and pushed to a new branch, harbor-schema-preview, on the meridian repo.</w:t>
      </w:r>
    </w:p>
    <w:p>
      <w:pPr>
        <w:pStyle w:val="ListParagraph"/>
        <w:numPr>
          <w:ilvl w:val="0"/>
          <w:numId w:val="2"/>
        </w:numPr>
        <w:spacing w:after="80"/>
      </w:pPr>
      <w:r>
        <w:rPr>
          <w:b/>
          <w:bCs/>
        </w:rPr>
        <w:t xml:space="preserve">Deliberately not merged via a PR</w:t>
      </w:r>
      <w:r>
        <w:t xml:space="preserve"> — merging Harbor's files permanently into meridian's own codebase would itself be the bad practice; an unmerged, browsable branch is the correct pattern here.</w:t>
      </w:r>
    </w:p>
    <w:p>
      <w:pPr>
        <w:pStyle w:val="Heading1"/>
        <w:pBdr>
          <w:bottom w:val="single" w:color="0F6B72" w:sz="8" w:space="4"/>
        </w:pBdr>
        <w:spacing w:after="200" w:before="400"/>
      </w:pPr>
      <w:r>
        <w:rPr>
          <w:b/>
          <w:bCs/>
          <w:color w:val="1F3864"/>
        </w:rPr>
        <w:t xml:space="preserve">13. Mistakes Made This Session (Stated Plainly)</w:t>
      </w:r>
    </w:p>
    <w:p>
      <w:pPr>
        <w:pStyle w:val="Heading3"/>
        <w:spacing w:after="80" w:before="200"/>
      </w:pPr>
      <w:r>
        <w:rPr>
          <w:b/>
          <w:bCs/>
          <w:color w:val="333333"/>
        </w:rPr>
        <w:t xml:space="preserve">Mistake 1 — trying to “correct” the SDL against a generic convention</w:t>
      </w:r>
    </w:p>
    <w:p>
      <w:pPr>
        <w:spacing w:after="120"/>
      </w:pPr>
      <w:r>
        <w:t xml:space="preserve">The repo's own skill doc said every GraphQL query field should take a single wrapped </w:t>
      </w:r>
      <w:r>
        <w:rPr>
          <w:rFonts w:ascii="Consolas" w:cs="Consolas" w:eastAsia="Consolas" w:hAnsi="Consolas"/>
          <w:color w:val="8A2BE2"/>
          <w:sz w:val="20"/>
          <w:szCs w:val="20"/>
        </w:rPr>
        <w:t xml:space="preserve">input: XInput!</w:t>
      </w:r>
      <w:r>
        <w:t xml:space="preserve"> argument. Our existing SDL used bare args instead. This was initially treated as a mistake needing a rewrite — but it was in fact deliberate, explicit UI-team guidance, backed by two Confluence docs (Meridian UI HLD, UI Solutioning) and the UI team's own example query (</w:t>
      </w:r>
      <w:r>
        <w:rPr>
          <w:rFonts w:ascii="Consolas" w:cs="Consolas" w:eastAsia="Consolas" w:hAnsi="Consolas"/>
          <w:color w:val="8A2BE2"/>
          <w:sz w:val="20"/>
          <w:szCs w:val="20"/>
        </w:rPr>
        <w:t xml:space="preserve">instockKPIs(filters: $filters, compareVs: $compareVs)</w:t>
      </w:r>
      <w:r>
        <w:t xml:space="preserve">). The edit was retracted once this was pointed out. </w:t>
      </w:r>
      <w:r>
        <w:rPr>
          <w:b/>
          <w:bCs/>
        </w:rPr>
        <w:t xml:space="preserve">Lesson: </w:t>
      </w:r>
      <w:r>
        <w:t xml:space="preserve">don't unilaterally “correct” an existing SDL against a generic convention without checking the actual, specific requirement first.</w:t>
      </w:r>
    </w:p>
    <w:p>
      <w:pPr>
        <w:pStyle w:val="Heading3"/>
        <w:spacing w:after="80" w:before="200"/>
      </w:pPr>
      <w:r>
        <w:rPr>
          <w:b/>
          <w:bCs/>
          <w:color w:val="333333"/>
        </w:rPr>
        <w:t xml:space="preserve">Mistake 2 — nothing had actually been committed or pushed</w:t>
      </w:r>
    </w:p>
    <w:p>
      <w:pPr>
        <w:spacing w:after="120"/>
      </w:pPr>
      <w:r>
        <w:t xml:space="preserve">At one point it was assumed some work might already be on GitHub. In fact nothing was even committed yet — everything was still raw, uncommitted working-directory state. This was caught by directly checking, not assumed either way.</w:t>
      </w:r>
    </w:p>
    <w:p>
      <w:pPr>
        <w:pStyle w:val="Heading3"/>
        <w:spacing w:after="80" w:before="200"/>
      </w:pPr>
      <w:r>
        <w:rPr>
          <w:b/>
          <w:bCs/>
          <w:color w:val="333333"/>
        </w:rPr>
        <w:t xml:space="preserve">Mistake 3 — a commit landed on the wrong branch</w:t>
      </w:r>
    </w:p>
    <w:tbl>
      <w:tblPr>
        <w:tblW w:type="pct" w:w="100%"/>
        <w:tblBorders>
          <w:top w:val="single" w:color="B00020" w:sz="4"/>
          <w:left w:val="single" w:color="B00020" w:sz="24"/>
          <w:bottom w:val="single" w:color="B00020" w:sz="4"/>
          <w:right w:val="single" w:color="B00020" w:sz="4"/>
          <w:insideH w:val="single" w:color="auto" w:sz="4"/>
          <w:insideV w:val="single" w:color="auto" w:sz="4"/>
        </w:tblBorders>
      </w:tblPr>
      <w:tblGrid>
        <w:gridCol w:w="100"/>
      </w:tblGrid>
      <w:tr>
        <w:tc>
          <w:tcPr>
            <w:shd w:fill="FBEAEA" w:val="clear"/>
            <w:tcMar>
              <w:top w:type="dxa" w:w="120"/>
              <w:left w:type="dxa" w:w="180"/>
              <w:bottom w:type="dxa" w:w="120"/>
              <w:right w:type="dxa" w:w="180"/>
            </w:tcMar>
          </w:tcPr>
          <w:p>
            <w:pPr>
              <w:spacing w:after="60"/>
            </w:pPr>
            <w:r>
              <w:rPr>
                <w:b/>
                <w:bCs/>
                <w:color w:val="B00020"/>
              </w:rPr>
              <w:t xml:space="preserve">Resolution status</w:t>
            </w:r>
          </w:p>
          <w:p>
            <w:pPr>
              <w:spacing w:after="40"/>
            </w:pPr>
            <w:r>
              <w:t xml:space="preserve">While committing the compareVs contract-doc change, the currently-checked-out branch in the meridian repo was not checked first. The change landed on j6-hive-es-sink — a branch holding unrelated pipeline/Elasticsearch work — instead of the correct target branch. This was caught and flagged immediately. Still needs a decision on which branch it should actually be relocated to — see Section 21.</w:t>
            </w:r>
          </w:p>
        </w:tc>
      </w:tr>
    </w:tbl>
    <w:p>
      <w:pPr>
        <w:pStyle w:val="Heading3"/>
        <w:spacing w:after="80" w:before="200"/>
      </w:pPr>
      <w:r>
        <w:rPr>
          <w:b/>
          <w:bCs/>
          <w:color w:val="333333"/>
        </w:rPr>
        <w:t xml:space="preserve">Scope-confusion moment — asked rather than assumed</w:t>
      </w:r>
    </w:p>
    <w:p>
      <w:pPr>
        <w:spacing w:after="120"/>
      </w:pPr>
      <w:r>
        <w:t xml:space="preserve">An instruction was pasted reading “Implement all screens from this Figma file... use React with Tailwind” — clearly written for a frontend-building agent, not matching any of the backend/GraphQL work done so far. Rather than just pivoting to building the React frontend (a repo not even available, in an unfamiliar stack), this was explicitly flagged and confirmation was asked for. No confirmation came back, so no frontend work was done.</w:t>
      </w:r>
    </w:p>
    <w:p>
      <w:pPr>
        <w:pStyle w:val="Heading1"/>
        <w:pBdr>
          <w:bottom w:val="single" w:color="0F6B72" w:sz="8" w:space="4"/>
        </w:pBdr>
        <w:spacing w:after="200" w:before="400"/>
      </w:pPr>
      <w:r>
        <w:rPr>
          <w:b/>
          <w:bCs/>
          <w:color w:val="1F3864"/>
        </w:rPr>
        <w:t xml:space="preserve">14. The Real Pull Request — What's On It</w:t>
      </w:r>
    </w:p>
    <w:p>
      <w:pPr>
        <w:spacing w:after="120"/>
      </w:pPr>
      <w:r>
        <w:t xml:space="preserve">Once access was confirmed working, the branch was pushed for real and GitHub returned a genuine PR-creation link:</w:t>
      </w:r>
    </w:p>
    <w:p>
      <w:pPr>
        <w:spacing w:after="120"/>
      </w:pPr>
      <w:hyperlink w:history="1" r:id="rIdnzu7jtvpuuuf6wtpnzeli">
        <w:r>
          <w:rPr>
            <w:rStyle w:val="Hyperlink"/>
            <w:color w:val="0563C1"/>
            <w:u w:val="single"/>
          </w:rPr>
          <w:t xml:space="preserve">https://github.fkinternal.com/Flipkart/fk-mart-api-orchestrator/pull/new/instock-monitoring-sdl-vajram</w:t>
        </w:r>
      </w:hyperlink>
    </w:p>
    <w:p>
      <w:pPr>
        <w:spacing w:after="120"/>
      </w:pPr>
      <w:r>
        <w:t xml:space="preserve">What's on it — 6 commits, everything built this whole session (the 7th, the compile-error correction, was folded into the same push):</w:t>
      </w:r>
    </w:p>
    <w:p>
      <w:pPr>
        <w:pStyle w:val="ListParagraph"/>
        <w:numPr>
          <w:ilvl w:val="0"/>
          <w:numId w:val="4"/>
        </w:numPr>
        <w:spacing w:after="80"/>
      </w:pPr>
      <w:r>
        <w:t xml:space="preserve">Instock Monitoring SDL (Replenishment.graphqls + query.graphqls additions) + instockKPIs Vajram chain</w:t>
      </w:r>
    </w:p>
    <w:p>
      <w:pPr>
        <w:pStyle w:val="ListParagraph"/>
        <w:numPr>
          <w:ilvl w:val="0"/>
          <w:numId w:val="4"/>
        </w:numPr>
        <w:spacing w:after="80"/>
      </w:pPr>
      <w:r>
        <w:t xml:space="preserve">worstFsns Vajram chain</w:t>
      </w:r>
    </w:p>
    <w:p>
      <w:pPr>
        <w:pStyle w:val="ListParagraph"/>
        <w:numPr>
          <w:ilvl w:val="0"/>
          <w:numId w:val="4"/>
        </w:numPr>
        <w:spacing w:after="80"/>
      </w:pPr>
      <w:r>
        <w:t xml:space="preserve">exportJob Vajram chain</w:t>
      </w:r>
    </w:p>
    <w:p>
      <w:pPr>
        <w:pStyle w:val="ListParagraph"/>
        <w:numPr>
          <w:ilvl w:val="0"/>
          <w:numId w:val="4"/>
        </w:numPr>
        <w:spacing w:after="80"/>
      </w:pPr>
      <w:r>
        <w:t xml:space="preserve">Fix: split InstockMasterDataGraphQLAggregator into 4 distinct vajramIds</w:t>
      </w:r>
    </w:p>
    <w:p>
      <w:pPr>
        <w:pStyle w:val="ListParagraph"/>
        <w:numPr>
          <w:ilvl w:val="0"/>
          <w:numId w:val="4"/>
        </w:numPr>
        <w:spacing w:after="80"/>
      </w:pPr>
      <w:r>
        <w:t xml:space="preserve">instockCities Vajram chain</w:t>
      </w:r>
    </w:p>
    <w:p>
      <w:pPr>
        <w:pStyle w:val="ListParagraph"/>
        <w:numPr>
          <w:ilvl w:val="0"/>
          <w:numId w:val="4"/>
        </w:numPr>
        <w:spacing w:after="80"/>
      </w:pPr>
      <w:r>
        <w:t xml:space="preserve">compareVs made Required across the 6 KPI/City Table endpoints</w:t>
      </w:r>
    </w:p>
    <w:tbl>
      <w:tblPr>
        <w:tblW w:type="pct" w:w="100%"/>
        <w:tblBorders>
          <w:top w:val="single" w:color="0F6B72" w:sz="4"/>
          <w:left w:val="single" w:color="0F6B72" w:sz="24"/>
          <w:bottom w:val="single" w:color="0F6B72" w:sz="4"/>
          <w:right w:val="single" w:color="0F6B72" w:sz="4"/>
          <w:insideH w:val="single" w:color="auto" w:sz="4"/>
          <w:insideV w:val="single" w:color="auto" w:sz="4"/>
        </w:tblBorders>
      </w:tblPr>
      <w:tblGrid>
        <w:gridCol w:w="100"/>
      </w:tblGrid>
      <w:tr>
        <w:tc>
          <w:tcPr>
            <w:shd w:fill="EAF1F1" w:val="clear"/>
            <w:tcMar>
              <w:top w:type="dxa" w:w="120"/>
              <w:left w:type="dxa" w:w="180"/>
              <w:bottom w:type="dxa" w:w="120"/>
              <w:right w:type="dxa" w:w="180"/>
            </w:tcMar>
          </w:tcPr>
          <w:p>
            <w:pPr>
              <w:spacing w:after="60"/>
            </w:pPr>
            <w:r>
              <w:rPr>
                <w:b/>
                <w:bCs/>
                <w:color w:val="0F6B72"/>
              </w:rPr>
              <w:t xml:space="preserve">No PR opened yet — waiting on a go-ahead</w:t>
            </w:r>
          </w:p>
          <w:p>
            <w:pPr>
              <w:spacing w:after="40"/>
            </w:pPr>
            <w:r>
              <w:t xml:space="preserve">Opening the PR is a bigger, more visible step: it starts the actual review process and notifies reviewers. This was deliberately left for a go/no-go decision rather than done automatically.</w:t>
            </w:r>
          </w:p>
        </w:tc>
      </w:tr>
    </w:tbl>
    <w:p>
      <w:pPr>
        <w:pStyle w:val="Heading1"/>
        <w:pBdr>
          <w:bottom w:val="single" w:color="0F6B72" w:sz="8" w:space="4"/>
        </w:pBdr>
        <w:spacing w:after="200" w:before="400"/>
      </w:pPr>
      <w:r>
        <w:rPr>
          <w:b/>
          <w:bCs/>
          <w:color w:val="1F3864"/>
        </w:rPr>
        <w:t xml:space="preserve">15. Deployment Reality — What Happens After the PR Is Merged</w:t>
      </w:r>
    </w:p>
    <w:p>
      <w:pPr>
        <w:spacing w:after="120"/>
      </w:pPr>
      <w:r>
        <w:t xml:space="preserve">A natural question: “if they accept my PR, won't it deploy automatically?” The honest answer is no — and it's worth understanding exactly why, since this shapes what to ask for next.</w:t>
      </w:r>
    </w:p>
    <w:p>
      <w:pPr>
        <w:spacing w:after="120"/>
      </w:pPr>
      <w:r>
        <w:t xml:space="preserve">Harbor is a </w:t>
      </w:r>
      <w:r>
        <w:rPr>
          <w:b/>
          <w:bCs/>
        </w:rPr>
        <w:t xml:space="preserve">running program</w:t>
      </w:r>
      <w:r>
        <w:t xml:space="preserve">, and “merging code into Harbor's repo” and “that code serving real traffic” are two separate events, not one. Merging a PR into </w:t>
      </w:r>
      <w:r>
        <w:rPr>
          <w:rFonts w:ascii="Consolas" w:cs="Consolas" w:eastAsia="Consolas" w:hAnsi="Consolas"/>
          <w:color w:val="8A2BE2"/>
          <w:sz w:val="20"/>
          <w:szCs w:val="20"/>
        </w:rPr>
        <w:t xml:space="preserve">main</w:t>
      </w:r>
      <w:r>
        <w:t xml:space="preserve"> typically triggers, at most, a build — it does not by itself put new code in front of real traffic. This matches what the platform's own Harbor documentation describes as the standard sequence:</w:t>
      </w:r>
    </w:p>
    <w:p>
      <w:pPr>
        <w:pStyle w:val="ListParagraph"/>
        <w:numPr>
          <w:ilvl w:val="0"/>
          <w:numId w:val="5"/>
        </w:numPr>
        <w:spacing w:after="80"/>
      </w:pPr>
      <w:r>
        <w:t xml:space="preserve">PR merged into main.</w:t>
      </w:r>
    </w:p>
    <w:p>
      <w:pPr>
        <w:pStyle w:val="ListParagraph"/>
        <w:numPr>
          <w:ilvl w:val="0"/>
          <w:numId w:val="5"/>
        </w:numPr>
        <w:spacing w:after="80"/>
      </w:pPr>
      <w:r>
        <w:t xml:space="preserve">A separate deploy pipeline builds an artifact/image from that merged code.</w:t>
      </w:r>
    </w:p>
    <w:p>
      <w:pPr>
        <w:pStyle w:val="ListParagraph"/>
        <w:numPr>
          <w:ilvl w:val="0"/>
          <w:numId w:val="5"/>
        </w:numPr>
        <w:spacing w:after="80"/>
      </w:pPr>
      <w:r>
        <w:t xml:space="preserve">It's rolled out to a canary instance first — tested there.</w:t>
      </w:r>
    </w:p>
    <w:p>
      <w:pPr>
        <w:pStyle w:val="ListParagraph"/>
        <w:numPr>
          <w:ilvl w:val="0"/>
          <w:numId w:val="5"/>
        </w:numPr>
        <w:spacing w:after="80"/>
      </w:pPr>
      <w:r>
        <w:t xml:space="preserve">Only then promoted to full production.</w:t>
      </w:r>
    </w:p>
    <w:p>
      <w:pPr>
        <w:spacing w:after="120"/>
      </w:pPr>
      <w:r>
        <w:t xml:space="preserve">Steps 2–4 need their own access (the </w:t>
      </w:r>
      <w:r>
        <w:rPr>
          <w:rFonts w:ascii="Consolas" w:cs="Consolas" w:eastAsia="Consolas" w:hAnsi="Consolas"/>
          <w:color w:val="8A2BE2"/>
          <w:sz w:val="20"/>
          <w:szCs w:val="20"/>
        </w:rPr>
        <w:t xml:space="preserve">fk-build.ops</w:t>
      </w:r>
      <w:r>
        <w:t xml:space="preserve"> / Podium/K8s namespace chain) — separate from repo write access, separate from PR approval. No CI config (no </w:t>
      </w:r>
      <w:r>
        <w:rPr>
          <w:rFonts w:ascii="Consolas" w:cs="Consolas" w:eastAsia="Consolas" w:hAnsi="Consolas"/>
          <w:color w:val="8A2BE2"/>
          <w:sz w:val="20"/>
          <w:szCs w:val="20"/>
        </w:rPr>
        <w:t xml:space="preserve">.github/workflows</w:t>
      </w:r>
      <w:r>
        <w:t xml:space="preserve">, no Jenkinsfile) exists in this specific repo that could confirm whether merging auto-triggers step 2 for fk-mart-api-orchestrator, so this cannot be confirmed either way from the repo alone — but even if it does, steps 3–4 are real gates, not automatic.</w:t>
      </w:r>
    </w:p>
    <w:tbl>
      <w:tblPr>
        <w:tblW w:type="pct" w:w="100%"/>
        <w:tblBorders>
          <w:top w:val="single" w:color="1E7A34" w:sz="4"/>
          <w:left w:val="single" w:color="1E7A34" w:sz="24"/>
          <w:bottom w:val="single" w:color="1E7A34" w:sz="4"/>
          <w:right w:val="single" w:color="1E7A34" w:sz="4"/>
          <w:insideH w:val="single" w:color="auto" w:sz="4"/>
          <w:insideV w:val="single" w:color="auto" w:sz="4"/>
        </w:tblBorders>
      </w:tblPr>
      <w:tblGrid>
        <w:gridCol w:w="100"/>
      </w:tblGrid>
      <w:tr>
        <w:tc>
          <w:tcPr>
            <w:shd w:fill="EAF6EC" w:val="clear"/>
            <w:tcMar>
              <w:top w:type="dxa" w:w="120"/>
              <w:left w:type="dxa" w:w="180"/>
              <w:bottom w:type="dxa" w:w="120"/>
              <w:right w:type="dxa" w:w="180"/>
            </w:tcMar>
          </w:tcPr>
          <w:p>
            <w:pPr>
              <w:spacing w:after="60"/>
            </w:pPr>
            <w:r>
              <w:rPr>
                <w:b/>
                <w:bCs/>
                <w:color w:val="1E7A34"/>
              </w:rPr>
              <w:t xml:space="preserve">Bottom line for the team</w:t>
            </w:r>
          </w:p>
          <w:p>
            <w:pPr>
              <w:spacing w:after="40"/>
            </w:pPr>
            <w:r>
              <w:t xml:space="preserve">PR accepted ≠ live in production. There is a real deployment process after merge, and it hasn't started yet. This is a normal part of how Harbor works for every team, not something specific to this feature.</w:t>
            </w:r>
          </w:p>
        </w:tc>
      </w:tr>
    </w:tbl>
    <w:p>
      <w:pPr>
        <w:pStyle w:val="Heading1"/>
        <w:pBdr>
          <w:bottom w:val="single" w:color="0F6B72" w:sz="8" w:space="4"/>
        </w:pBdr>
        <w:spacing w:after="200" w:before="400"/>
      </w:pPr>
      <w:r>
        <w:rPr>
          <w:b/>
          <w:bCs/>
          <w:color w:val="1F3864"/>
        </w:rPr>
        <w:t xml:space="preserve">16. What Still Needs Escalation — Exact Asks, and Who to Ask</w:t>
      </w:r>
    </w:p>
    <w:p>
      <w:pPr>
        <w:pStyle w:val="Heading3"/>
        <w:spacing w:after="80" w:before="200"/>
      </w:pPr>
      <w:r>
        <w:rPr>
          <w:b/>
          <w:bCs/>
          <w:color w:val="333333"/>
        </w:rPr>
        <w:t xml:space="preserve">Ask #1 — get a real, deployed test URL for Vaibhav</w:t>
      </w:r>
    </w:p>
    <w:p>
      <w:pPr>
        <w:spacing w:after="120"/>
      </w:pPr>
      <w:r>
        <w:t xml:space="preserve">This genuinely isn't something to push through solo — it needs someone with deploy-pipeline/K8s access. Be specific about what to ask for, not just “deploy it”:</w:t>
      </w:r>
    </w:p>
    <w:tbl>
      <w:tblPr>
        <w:tblW w:type="pct" w:w="100%"/>
        <w:tblBorders>
          <w:top w:val="single" w:color="8A6D00" w:sz="4"/>
          <w:left w:val="single" w:color="8A6D00" w:sz="24"/>
          <w:bottom w:val="single" w:color="8A6D00" w:sz="4"/>
          <w:right w:val="single" w:color="8A6D00" w:sz="4"/>
          <w:insideH w:val="single" w:color="auto" w:sz="4"/>
          <w:insideV w:val="single" w:color="auto" w:sz="4"/>
        </w:tblBorders>
      </w:tblPr>
      <w:tblGrid>
        <w:gridCol w:w="100"/>
      </w:tblGrid>
      <w:tr>
        <w:tc>
          <w:tcPr>
            <w:shd w:fill="FBF3DF" w:val="clear"/>
            <w:tcMar>
              <w:top w:type="dxa" w:w="120"/>
              <w:left w:type="dxa" w:w="180"/>
              <w:bottom w:type="dxa" w:w="120"/>
              <w:right w:type="dxa" w:w="180"/>
            </w:tcMar>
          </w:tcPr>
          <w:p>
            <w:pPr>
              <w:spacing w:after="60"/>
            </w:pPr>
            <w:r>
              <w:rPr>
                <w:b/>
                <w:bCs/>
                <w:color w:val="8A6D00"/>
              </w:rPr>
              <w:t xml:space="preserve">Exact ask for your mentor</w:t>
            </w:r>
          </w:p>
          <w:p>
            <w:pPr>
              <w:spacing w:after="40"/>
            </w:pPr>
            <w:r>
              <w:t xml:space="preserve">“Can you deploy branch instock-monitoring-sdl-vajram from fk-mart-api-orchestrator to a dev/preprod Harbor instance, so I can give Vaibhav a real URL to point his Apollo Client at for testing?”</w:t>
            </w:r>
          </w:p>
        </w:tc>
      </w:tr>
    </w:tbl>
    <w:p>
      <w:pPr>
        <w:spacing w:after="120"/>
      </w:pPr>
      <w:r>
        <w:t xml:space="preserve">Worth flagging to your mentor in the same breath: deployment alone won't give Vaibhav working data yet, even once it's live. Two gaps found earlier are still unresolved and would show up as errors on a real deployed instance:</w:t>
      </w:r>
    </w:p>
    <w:p>
      <w:pPr>
        <w:pStyle w:val="ListParagraph"/>
        <w:numPr>
          <w:ilvl w:val="0"/>
          <w:numId w:val="2"/>
        </w:numPr>
        <w:spacing w:after="80"/>
      </w:pPr>
      <w:r>
        <w:rPr>
          <w:b/>
          <w:bCs/>
        </w:rPr>
        <w:t xml:space="preserve">meridianService.httpInitOptions.host/port</w:t>
      </w:r>
      <w:r>
        <w:t xml:space="preserve"> — still unresolved placeholders in the remote config bucket. Without real values there, every field would fail with a connection error, not return data.</w:t>
      </w:r>
    </w:p>
    <w:p>
      <w:pPr>
        <w:pStyle w:val="ListParagraph"/>
        <w:numPr>
          <w:ilvl w:val="0"/>
          <w:numId w:val="2"/>
        </w:numPr>
        <w:spacing w:after="80"/>
      </w:pPr>
      <w:r>
        <w:rPr>
          <w:b/>
          <w:bCs/>
        </w:rPr>
        <w:t xml:space="preserve">The Authn targetClientId</w:t>
      </w:r>
      <w:r>
        <w:t xml:space="preserve"> for authenticating to meridian's serving layer — the mechanism (AuthTokenService/GetAuthnToken) is known, just not the actual ID string meridian's serving layer is registered under.</w:t>
      </w:r>
    </w:p>
    <w:p>
      <w:pPr>
        <w:pStyle w:val="Heading3"/>
        <w:spacing w:after="80" w:before="200"/>
      </w:pPr>
      <w:r>
        <w:rPr>
          <w:b/>
          <w:bCs/>
          <w:color w:val="333333"/>
        </w:rPr>
        <w:t xml:space="preserve">A realistic staged plan to propose to your mentor</w:t>
      </w:r>
    </w:p>
    <w:p>
      <w:pPr>
        <w:pStyle w:val="ListParagraph"/>
        <w:numPr>
          <w:ilvl w:val="0"/>
          <w:numId w:val="6"/>
        </w:numPr>
        <w:spacing w:after="80"/>
      </w:pPr>
      <w:r>
        <w:t xml:space="preserve">First, deploy it even with those 2 gaps open. Vaibhav can still confirm the schema is correct (field names, types, arguments match what his Apollo queries expect), since queries will resolve at the GraphQL layer and only fail downstream with a specific, informative error — which is a real, useful signal, not nothing.</w:t>
      </w:r>
    </w:p>
    <w:p>
      <w:pPr>
        <w:pStyle w:val="ListParagraph"/>
        <w:numPr>
          <w:ilvl w:val="0"/>
          <w:numId w:val="6"/>
        </w:numPr>
        <w:spacing w:after="80"/>
      </w:pPr>
      <w:r>
        <w:t xml:space="preserve">Then, close the host-config and auth-token gaps (both likely need the same kind of access your mentor has) to get Vaibhav actual real data back.</w:t>
      </w:r>
    </w:p>
    <w:p>
      <w:pPr>
        <w:pStyle w:val="Heading3"/>
        <w:spacing w:after="80" w:before="200"/>
      </w:pPr>
      <w:r>
        <w:rPr>
          <w:b/>
          <w:bCs/>
          <w:color w:val="333333"/>
        </w:rPr>
        <w:t xml:space="preserve">Ask #2 — the two technical issues, and whose job each one is</w:t>
      </w:r>
    </w:p>
    <w:tbl>
      <w:tblPr>
        <w:tblW w:type="pct" w:w="100%"/>
        <w:tblBorders>
          <w:top w:val="single" w:color="0F6B72" w:sz="4"/>
          <w:left w:val="single" w:color="0F6B72" w:sz="24"/>
          <w:bottom w:val="single" w:color="0F6B72" w:sz="4"/>
          <w:right w:val="single" w:color="0F6B72" w:sz="4"/>
          <w:insideH w:val="single" w:color="auto" w:sz="4"/>
          <w:insideV w:val="single" w:color="auto" w:sz="4"/>
        </w:tblBorders>
      </w:tblPr>
      <w:tblGrid>
        <w:gridCol w:w="100"/>
      </w:tblGrid>
      <w:tr>
        <w:tc>
          <w:tcPr>
            <w:shd w:fill="EAF1F1" w:val="clear"/>
            <w:tcMar>
              <w:top w:type="dxa" w:w="120"/>
              <w:left w:type="dxa" w:w="180"/>
              <w:bottom w:type="dxa" w:w="120"/>
              <w:right w:type="dxa" w:w="180"/>
            </w:tcMar>
          </w:tcPr>
          <w:p>
            <w:pPr>
              <w:spacing w:after="60"/>
            </w:pPr>
            <w:r>
              <w:rPr>
                <w:b/>
                <w:bCs/>
                <w:color w:val="0F6B72"/>
              </w:rPr>
              <w:t xml:space="preserve">meridianService.httpInitOptions.host/port</w:t>
            </w:r>
          </w:p>
          <w:p>
            <w:pPr>
              <w:spacing w:after="40"/>
            </w:pPr>
            <w:r>
              <w:t xml:space="preserve">The actual values (Meridian's real host/port) are this team's to know — already documented in api-contract.md ({instockctl-host}). But how those values get into Harbor's remote config bucket is likely a platform-managed step, not self-service. Ask directly: “how do we get our service's host/port into the config bucket?”</w:t>
            </w:r>
          </w:p>
        </w:tc>
      </w:tr>
    </w:tbl>
    <w:tbl>
      <w:tblPr>
        <w:tblW w:type="pct" w:w="100%"/>
        <w:tblBorders>
          <w:top w:val="single" w:color="0F6B72" w:sz="4"/>
          <w:left w:val="single" w:color="0F6B72" w:sz="24"/>
          <w:bottom w:val="single" w:color="0F6B72" w:sz="4"/>
          <w:right w:val="single" w:color="0F6B72" w:sz="4"/>
          <w:insideH w:val="single" w:color="auto" w:sz="4"/>
          <w:insideV w:val="single" w:color="auto" w:sz="4"/>
        </w:tblBorders>
      </w:tblPr>
      <w:tblGrid>
        <w:gridCol w:w="100"/>
      </w:tblGrid>
      <w:tr>
        <w:tc>
          <w:tcPr>
            <w:shd w:fill="EAF1F1" w:val="clear"/>
            <w:tcMar>
              <w:top w:type="dxa" w:w="120"/>
              <w:left w:type="dxa" w:w="180"/>
              <w:bottom w:type="dxa" w:w="120"/>
              <w:right w:type="dxa" w:w="180"/>
            </w:tcMar>
          </w:tcPr>
          <w:p>
            <w:pPr>
              <w:spacing w:after="60"/>
            </w:pPr>
            <w:r>
              <w:rPr>
                <w:b/>
                <w:bCs/>
                <w:color w:val="0F6B72"/>
              </w:rPr>
              <w:t xml:space="preserve">Authn targetClientId</w:t>
            </w:r>
          </w:p>
          <w:p>
            <w:pPr>
              <w:spacing w:after="40"/>
            </w:pPr>
            <w:r>
              <w:t xml:space="preserve">This isn't something to resolve alone. It requires Meridian's serving layer to be registered with Flipkart's central Authn service as a valid target — a coordination task between whoever owns Meridian's serving-layer security and the Harbor platform team.</w:t>
            </w:r>
          </w:p>
        </w:tc>
      </w:tr>
    </w:tbl>
    <w:p>
      <w:pPr>
        <w:spacing w:after="120"/>
      </w:pPr>
      <w:r>
        <w:t xml:space="preserve">Worth asking about both gaps in the same conversation as the deployment ask, since your mentor is probably the person who can unblock all three (deployment + config + auth) at once.</w:t>
      </w:r>
    </w:p>
    <w:p>
      <w:pPr>
        <w:pStyle w:val="Heading1"/>
        <w:pBdr>
          <w:bottom w:val="single" w:color="0F6B72" w:sz="8" w:space="4"/>
        </w:pBdr>
        <w:spacing w:after="200" w:before="400"/>
      </w:pPr>
      <w:r>
        <w:rPr>
          <w:b/>
          <w:bCs/>
          <w:color w:val="1F3864"/>
        </w:rPr>
        <w:t xml:space="preserve">17. How the Team Uses Harbor Going Forward — the Real Steps</w:t>
      </w:r>
    </w:p>
    <w:p>
      <w:pPr>
        <w:pStyle w:val="ListParagraph"/>
        <w:numPr>
          <w:ilvl w:val="0"/>
          <w:numId w:val="7"/>
        </w:numPr>
        <w:spacing w:after="80"/>
      </w:pPr>
      <w:r>
        <w:t xml:space="preserve">Design the schema first — add fields/types to a .graphqls file (a new domain file, or an existing one if it genuinely fits). Check for duplicate fields across other teams' domains first — there is a review-board gate specifically for this.</w:t>
      </w:r>
    </w:p>
    <w:p>
      <w:pPr>
        <w:pStyle w:val="ListParagraph"/>
        <w:numPr>
          <w:ilvl w:val="0"/>
          <w:numId w:val="7"/>
        </w:numPr>
        <w:spacing w:after="80"/>
      </w:pPr>
      <w:r>
        <w:t xml:space="preserve">Write the IO Vajram — the class that calls your actual REST endpoint. One per REST call.</w:t>
      </w:r>
    </w:p>
    <w:p>
      <w:pPr>
        <w:pStyle w:val="ListParagraph"/>
        <w:numPr>
          <w:ilvl w:val="0"/>
          <w:numId w:val="7"/>
        </w:numPr>
        <w:spacing w:after="80"/>
      </w:pPr>
      <w:r>
        <w:t xml:space="preserve">Write the Compute Vajram — maps the raw REST response into the GraphQL shape.</w:t>
      </w:r>
    </w:p>
    <w:p>
      <w:pPr>
        <w:pStyle w:val="ListParagraph"/>
        <w:numPr>
          <w:ilvl w:val="0"/>
          <w:numId w:val="7"/>
        </w:numPr>
        <w:spacing w:after="80"/>
      </w:pPr>
      <w:r>
        <w:t xml:space="preserve">Write the Aggregator — the field's real entry point; wires the arguments, handles errors.</w:t>
      </w:r>
    </w:p>
    <w:p>
      <w:pPr>
        <w:pStyle w:val="ListParagraph"/>
        <w:numPr>
          <w:ilvl w:val="0"/>
          <w:numId w:val="7"/>
        </w:numPr>
        <w:spacing w:after="80"/>
      </w:pPr>
      <w:r>
        <w:t xml:space="preserve">Run it locally — Harbor boots at localhost:5123; test your field with a curl request carrying the mandatory headers (X-USER-ID, X-CLIENT-ID).</w:t>
      </w:r>
    </w:p>
    <w:p>
      <w:pPr>
        <w:pStyle w:val="ListParagraph"/>
        <w:numPr>
          <w:ilvl w:val="0"/>
          <w:numId w:val="7"/>
        </w:numPr>
        <w:spacing w:after="80"/>
      </w:pPr>
      <w:r>
        <w:t xml:space="preserve">Push to a branch and open a PR — never direct to main. Someone with platform-side review approves it. This is a deliberate gate, not friction for its own sake, since the code runs inside the same process every other team's code runs in.</w:t>
      </w:r>
    </w:p>
    <w:p>
      <w:pPr>
        <w:pStyle w:val="ListParagraph"/>
        <w:numPr>
          <w:ilvl w:val="0"/>
          <w:numId w:val="7"/>
        </w:numPr>
        <w:spacing w:after="80"/>
      </w:pPr>
      <w:r>
        <w:t xml:space="preserve">Deploy — a separate step from merging (see Section 15); needs its own access chain (build/deploy tooling, K8s namespace).</w:t>
      </w:r>
    </w:p>
    <w:p>
      <w:pPr>
        <w:spacing w:after="120"/>
      </w:pPr>
      <w:r>
        <w:t xml:space="preserve">Full onboarding, beyond just writing code, additionally requires: clearing Nexus Gateway, __typename support, an AppSec review, and the schema review board sign-off. A debugging visualizer tool also exists at an internal-only IP for inspecting live query behavior.</w:t>
      </w:r>
    </w:p>
    <w:p>
      <w:pPr>
        <w:pStyle w:val="Heading1"/>
        <w:pBdr>
          <w:bottom w:val="single" w:color="0F6B72" w:sz="8" w:space="4"/>
        </w:pBdr>
        <w:spacing w:after="200" w:before="400"/>
      </w:pPr>
      <w:r>
        <w:rPr>
          <w:b/>
          <w:bCs/>
          <w:color w:val="1F3864"/>
        </w:rPr>
        <w:t xml:space="preserve">18. Current State Snapshot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50"/>
      </w:tblGrid>
      <w:tr>
        <w:trPr>
          <w:tblHeader/>
        </w:trPr>
        <w:tc>
          <w:tcPr>
            <w:tcW w:type="dxa" w:w="3000"/>
            <w:shd w:fill="1F3864" w:val="clear"/>
            <w:tcMar>
              <w:top w:type="dxa" w:w="80"/>
              <w:left w:type="dxa" w:w="100"/>
              <w:bottom w:type="dxa" w:w="80"/>
              <w:right w:type="dxa" w:w="100"/>
            </w:tcMar>
            <w:vAlign w:val="center"/>
          </w:tcPr>
          <w:p>
            <w:r>
              <w:rPr>
                <w:b/>
                <w:bCs/>
                <w:color w:val="FFFFFF"/>
                <w:sz w:val="20"/>
                <w:szCs w:val="20"/>
              </w:rPr>
              <w:t xml:space="preserve">Repo</w:t>
            </w:r>
          </w:p>
        </w:tc>
        <w:tc>
          <w:tcPr>
            <w:tcW w:type="dxa" w:w="3200"/>
            <w:shd w:fill="1F3864" w:val="clear"/>
            <w:tcMar>
              <w:top w:type="dxa" w:w="80"/>
              <w:left w:type="dxa" w:w="100"/>
              <w:bottom w:type="dxa" w:w="80"/>
              <w:right w:type="dxa" w:w="100"/>
            </w:tcMar>
            <w:vAlign w:val="center"/>
          </w:tcPr>
          <w:p>
            <w:r>
              <w:rPr>
                <w:b/>
                <w:bCs/>
                <w:color w:val="FFFFFF"/>
                <w:sz w:val="20"/>
                <w:szCs w:val="20"/>
              </w:rPr>
              <w:t xml:space="preserve">Branch</w:t>
            </w:r>
          </w:p>
        </w:tc>
        <w:tc>
          <w:tcPr>
            <w:tcW w:type="dxa" w:w="3150"/>
            <w:shd w:fill="1F3864" w:val="clear"/>
            <w:tcMar>
              <w:top w:type="dxa" w:w="80"/>
              <w:left w:type="dxa" w:w="100"/>
              <w:bottom w:type="dxa" w:w="80"/>
              <w:right w:type="dxa" w:w="100"/>
            </w:tcMar>
            <w:vAlign w:val="center"/>
          </w:tcPr>
          <w:p>
            <w:r>
              <w:rPr>
                <w:b/>
                <w:bCs/>
                <w:color w:val="FFFFFF"/>
                <w:sz w:val="20"/>
                <w:szCs w:val="20"/>
              </w:rPr>
              <w:t xml:space="preserve">State</w:t>
            </w:r>
          </w:p>
        </w:tc>
      </w:tr>
      <w:tr>
        <w:tc>
          <w:tcPr>
            <w:tcW w:type="dxa" w:w="3000"/>
            <w:shd w:fill="FFFFFF" w:val="clear"/>
            <w:tcMar>
              <w:top w:type="dxa" w:w="70"/>
              <w:left w:type="dxa" w:w="100"/>
              <w:bottom w:type="dxa" w:w="70"/>
              <w:right w:type="dxa" w:w="100"/>
            </w:tcMar>
            <w:vAlign w:val="center"/>
          </w:tcPr>
          <w:p>
            <w:r>
              <w:rPr>
                <w:sz w:val="20"/>
                <w:szCs w:val="20"/>
              </w:rPr>
              <w:t xml:space="preserve">fk-mart-api-orchestrator</w:t>
            </w:r>
          </w:p>
        </w:tc>
        <w:tc>
          <w:tcPr>
            <w:tcW w:type="dxa" w:w="3200"/>
            <w:shd w:fill="FFFFFF" w:val="clear"/>
            <w:tcMar>
              <w:top w:type="dxa" w:w="70"/>
              <w:left w:type="dxa" w:w="100"/>
              <w:bottom w:type="dxa" w:w="70"/>
              <w:right w:type="dxa" w:w="100"/>
            </w:tcMar>
            <w:vAlign w:val="center"/>
          </w:tcPr>
          <w:p>
            <w:r>
              <w:rPr>
                <w:sz w:val="20"/>
                <w:szCs w:val="20"/>
              </w:rPr>
              <w:t xml:space="preserve">instock-monitoring-sdl-vajram</w:t>
            </w:r>
          </w:p>
        </w:tc>
        <w:tc>
          <w:tcPr>
            <w:tcW w:type="dxa" w:w="3150"/>
            <w:shd w:fill="FFFFFF" w:val="clear"/>
            <w:tcMar>
              <w:top w:type="dxa" w:w="70"/>
              <w:left w:type="dxa" w:w="100"/>
              <w:bottom w:type="dxa" w:w="70"/>
              <w:right w:type="dxa" w:w="100"/>
            </w:tcMar>
            <w:vAlign w:val="center"/>
          </w:tcPr>
          <w:p>
            <w:r>
              <w:rPr>
                <w:sz w:val="20"/>
                <w:szCs w:val="20"/>
              </w:rPr>
              <w:t xml:space="preserve">Pushed — 6 commits (+1 compile-fix commit), no PR opened yet. Real link in Section 14.</w:t>
            </w:r>
          </w:p>
        </w:tc>
      </w:tr>
      <w:tr>
        <w:tc>
          <w:tcPr>
            <w:tcW w:type="dxa" w:w="3000"/>
            <w:shd w:fill="F2F6F6" w:val="clear"/>
            <w:tcMar>
              <w:top w:type="dxa" w:w="70"/>
              <w:left w:type="dxa" w:w="100"/>
              <w:bottom w:type="dxa" w:w="70"/>
              <w:right w:type="dxa" w:w="100"/>
            </w:tcMar>
            <w:vAlign w:val="center"/>
          </w:tcPr>
          <w:p>
            <w:r>
              <w:rPr>
                <w:sz w:val="20"/>
                <w:szCs w:val="20"/>
              </w:rPr>
              <w:t xml:space="preserve">meridian</w:t>
            </w:r>
          </w:p>
        </w:tc>
        <w:tc>
          <w:tcPr>
            <w:tcW w:type="dxa" w:w="3200"/>
            <w:shd w:fill="F2F6F6" w:val="clear"/>
            <w:tcMar>
              <w:top w:type="dxa" w:w="70"/>
              <w:left w:type="dxa" w:w="100"/>
              <w:bottom w:type="dxa" w:w="70"/>
              <w:right w:type="dxa" w:w="100"/>
            </w:tcMar>
            <w:vAlign w:val="center"/>
          </w:tcPr>
          <w:p>
            <w:r>
              <w:rPr>
                <w:sz w:val="20"/>
                <w:szCs w:val="20"/>
              </w:rPr>
              <w:t xml:space="preserve">harbor-schema-preview</w:t>
            </w:r>
          </w:p>
        </w:tc>
        <w:tc>
          <w:tcPr>
            <w:tcW w:type="dxa" w:w="3150"/>
            <w:shd w:fill="F2F6F6" w:val="clear"/>
            <w:tcMar>
              <w:top w:type="dxa" w:w="70"/>
              <w:left w:type="dxa" w:w="100"/>
              <w:bottom w:type="dxa" w:w="70"/>
              <w:right w:type="dxa" w:w="100"/>
            </w:tcMar>
            <w:vAlign w:val="center"/>
          </w:tcPr>
          <w:p>
            <w:r>
              <w:rPr>
                <w:sz w:val="20"/>
                <w:szCs w:val="20"/>
              </w:rPr>
              <w:t xml:space="preserve">Pushed — review-only, deliberately left unmerged</w:t>
            </w:r>
          </w:p>
        </w:tc>
      </w:tr>
      <w:tr>
        <w:tc>
          <w:tcPr>
            <w:tcW w:type="dxa" w:w="3000"/>
            <w:shd w:fill="FFFFFF" w:val="clear"/>
            <w:tcMar>
              <w:top w:type="dxa" w:w="70"/>
              <w:left w:type="dxa" w:w="100"/>
              <w:bottom w:type="dxa" w:w="70"/>
              <w:right w:type="dxa" w:w="100"/>
            </w:tcMar>
            <w:vAlign w:val="center"/>
          </w:tcPr>
          <w:p>
            <w:r>
              <w:rPr>
                <w:sz w:val="20"/>
                <w:szCs w:val="20"/>
              </w:rPr>
              <w:t xml:space="preserve">meridian</w:t>
            </w:r>
          </w:p>
        </w:tc>
        <w:tc>
          <w:tcPr>
            <w:tcW w:type="dxa" w:w="3200"/>
            <w:shd w:fill="FFFFFF" w:val="clear"/>
            <w:tcMar>
              <w:top w:type="dxa" w:w="70"/>
              <w:left w:type="dxa" w:w="100"/>
              <w:bottom w:type="dxa" w:w="70"/>
              <w:right w:type="dxa" w:w="100"/>
            </w:tcMar>
            <w:vAlign w:val="center"/>
          </w:tcPr>
          <w:p>
            <w:r>
              <w:rPr>
                <w:sz w:val="20"/>
                <w:szCs w:val="20"/>
              </w:rPr>
              <w:t xml:space="preserve">j6-hive-es-sink</w:t>
            </w:r>
          </w:p>
        </w:tc>
        <w:tc>
          <w:tcPr>
            <w:tcW w:type="dxa" w:w="3150"/>
            <w:shd w:fill="FFFFFF" w:val="clear"/>
            <w:tcMar>
              <w:top w:type="dxa" w:w="70"/>
              <w:left w:type="dxa" w:w="100"/>
              <w:bottom w:type="dxa" w:w="70"/>
              <w:right w:type="dxa" w:w="100"/>
            </w:tcMar>
            <w:vAlign w:val="center"/>
          </w:tcPr>
          <w:p>
            <w:r>
              <w:rPr>
                <w:sz w:val="20"/>
                <w:szCs w:val="20"/>
              </w:rPr>
              <w:t xml:space="preserve">Has 1 misplaced commit (compareVs change) still needing relocation</w:t>
            </w:r>
          </w:p>
        </w:tc>
      </w:tr>
    </w:tbl>
    <w:p>
      <w:pPr>
        <w:spacing w:after="120"/>
      </w:pPr>
      <w:r>
        <w:t xml:space="preserve"/>
      </w:r>
    </w:p>
    <w:p>
      <w:pPr>
        <w:spacing w:after="120"/>
      </w:pPr>
      <w:r>
        <w:t xml:space="preserve">Overall build progress: 5 of 13 GraphQL operations fully wired end-to-end (instockKPIs, worstFsns, exportJob, instockCities, citySubPivots). Not built: 6 mechanical operations (no blockers) plus 2 genuinely complex ones (a union type and dual-endpoint dispatch) plus 1 REST/GraphQL field gap (lowInstockStores), plus 3 UX clarifications that could not be verified visually this session.</w:t>
      </w:r>
    </w:p>
    <w:tbl>
      <w:tblPr>
        <w:tblW w:type="pct" w:w="100%"/>
        <w:tblBorders>
          <w:top w:val="single" w:color="B00020" w:sz="4"/>
          <w:left w:val="single" w:color="B00020" w:sz="24"/>
          <w:bottom w:val="single" w:color="B00020" w:sz="4"/>
          <w:right w:val="single" w:color="B00020" w:sz="4"/>
          <w:insideH w:val="single" w:color="auto" w:sz="4"/>
          <w:insideV w:val="single" w:color="auto" w:sz="4"/>
        </w:tblBorders>
      </w:tblPr>
      <w:tblGrid>
        <w:gridCol w:w="100"/>
      </w:tblGrid>
      <w:tr>
        <w:tc>
          <w:tcPr>
            <w:shd w:fill="FBEAEA" w:val="clear"/>
            <w:tcMar>
              <w:top w:type="dxa" w:w="120"/>
              <w:left w:type="dxa" w:w="180"/>
              <w:bottom w:type="dxa" w:w="120"/>
              <w:right w:type="dxa" w:w="180"/>
            </w:tcMar>
          </w:tcPr>
          <w:p>
            <w:pPr>
              <w:spacing w:after="60"/>
            </w:pPr>
            <w:r>
              <w:rPr>
                <w:b/>
                <w:bCs/>
                <w:color w:val="B00020"/>
              </w:rPr>
              <w:t xml:space="preserve">Still missing for a real deployment</w:t>
            </w:r>
          </w:p>
          <w:p>
            <w:pPr>
              <w:spacing w:after="40"/>
            </w:pPr>
            <w:r>
              <w:t xml:space="preserve">The exact Authn targetClientId string that identifies Meridian's serving layer — needs the Harbor platform team.</w:t>
            </w:r>
          </w:p>
          <w:p>
            <w:pPr>
              <w:spacing w:after="40"/>
            </w:pPr>
            <w:r>
              <w:t xml:space="preserve">Real host and port values added to the remote config bucket (fk-mart-api-orchestrator-config) — likely a platform-managed step; ask directly how to get values in.</w:t>
            </w:r>
          </w:p>
          <w:p>
            <w:pPr>
              <w:spacing w:after="40"/>
            </w:pPr>
            <w:r>
              <w:t xml:space="preserve">See Section 16 for the exact asks and staged plan to bring to your mentor.</w:t>
            </w:r>
          </w:p>
        </w:tc>
      </w:tr>
    </w:tbl>
    <w:p>
      <w:pPr>
        <w:pStyle w:val="Heading1"/>
        <w:pBdr>
          <w:bottom w:val="single" w:color="0F6B72" w:sz="8" w:space="4"/>
        </w:pBdr>
        <w:spacing w:after="200" w:before="400"/>
      </w:pPr>
      <w:r>
        <w:rPr>
          <w:b/>
          <w:bCs/>
          <w:color w:val="1F3864"/>
        </w:rPr>
        <w:t xml:space="preserve">19. Business Context — Where This Fits in the Roadmap</w:t>
      </w:r>
    </w:p>
    <w:p>
      <w:pPr>
        <w:spacing w:after="120"/>
      </w:pPr>
      <w:r>
        <w:t xml:space="preserve">A “Product Strategy Note” was reviewed, describing a 5-phase roadmap:</w:t>
      </w:r>
    </w:p>
    <w:p>
      <w:pPr>
        <w:pStyle w:val="ListParagraph"/>
        <w:numPr>
          <w:ilvl w:val="0"/>
          <w:numId w:val="8"/>
        </w:numPr>
        <w:spacing w:after="80"/>
      </w:pPr>
      <w:r>
        <w:t xml:space="preserve">Metrics &amp; Insights</w:t>
      </w:r>
    </w:p>
    <w:p>
      <w:pPr>
        <w:pStyle w:val="ListParagraph"/>
        <w:numPr>
          <w:ilvl w:val="0"/>
          <w:numId w:val="8"/>
        </w:numPr>
        <w:spacing w:after="80"/>
      </w:pPr>
      <w:r>
        <w:t xml:space="preserve">Predictive Alerting</w:t>
      </w:r>
    </w:p>
    <w:p>
      <w:pPr>
        <w:pStyle w:val="ListParagraph"/>
        <w:numPr>
          <w:ilvl w:val="0"/>
          <w:numId w:val="8"/>
        </w:numPr>
        <w:spacing w:after="80"/>
      </w:pPr>
      <w:r>
        <w:t xml:space="preserve">Recommendations</w:t>
      </w:r>
    </w:p>
    <w:p>
      <w:pPr>
        <w:pStyle w:val="ListParagraph"/>
        <w:numPr>
          <w:ilvl w:val="0"/>
          <w:numId w:val="8"/>
        </w:numPr>
        <w:spacing w:after="80"/>
      </w:pPr>
      <w:r>
        <w:t xml:space="preserve">Policy Integration</w:t>
      </w:r>
    </w:p>
    <w:p>
      <w:pPr>
        <w:pStyle w:val="ListParagraph"/>
        <w:numPr>
          <w:ilvl w:val="0"/>
          <w:numId w:val="8"/>
        </w:numPr>
        <w:spacing w:after="80"/>
      </w:pPr>
      <w:r>
        <w:t xml:space="preserve">Autonomous Agent</w:t>
      </w:r>
    </w:p>
    <w:tbl>
      <w:tblPr>
        <w:tblW w:type="pct" w:w="100%"/>
        <w:tblBorders>
          <w:top w:val="single" w:color="0F6B72" w:sz="4"/>
          <w:left w:val="single" w:color="0F6B72" w:sz="24"/>
          <w:bottom w:val="single" w:color="0F6B72" w:sz="4"/>
          <w:right w:val="single" w:color="0F6B72" w:sz="4"/>
          <w:insideH w:val="single" w:color="auto" w:sz="4"/>
          <w:insideV w:val="single" w:color="auto" w:sz="4"/>
        </w:tblBorders>
      </w:tblPr>
      <w:tblGrid>
        <w:gridCol w:w="100"/>
      </w:tblGrid>
      <w:tr>
        <w:tc>
          <w:tcPr>
            <w:shd w:fill="EAF1F1" w:val="clear"/>
            <w:tcMar>
              <w:top w:type="dxa" w:w="120"/>
              <w:left w:type="dxa" w:w="180"/>
              <w:bottom w:type="dxa" w:w="120"/>
              <w:right w:type="dxa" w:w="180"/>
            </w:tcMar>
          </w:tcPr>
          <w:p>
            <w:pPr>
              <w:spacing w:after="60"/>
            </w:pPr>
            <w:r>
              <w:rPr>
                <w:b/>
                <w:bCs/>
                <w:color w:val="0F6B72"/>
              </w:rPr>
              <w:t xml:space="preserve">Scope confirmation</w:t>
            </w:r>
          </w:p>
          <w:p>
            <w:pPr>
              <w:spacing w:after="40"/>
            </w:pPr>
            <w:r>
              <w:t xml:space="preserve">Everything being built right now (unified metrics, monitoring dashboards, a policy audit trail) is Phase 1 only. Phases 2–5 are explicitly future scope and were not built into today's contract. Useful to state plainly to the team so nobody assumes predictive/recommendation features are already in scope.</w:t>
            </w:r>
          </w:p>
        </w:tc>
      </w:tr>
    </w:tbl>
    <w:p>
      <w:pPr>
        <w:pStyle w:val="Heading1"/>
        <w:pBdr>
          <w:bottom w:val="single" w:color="0F6B72" w:sz="8" w:space="4"/>
        </w:pBdr>
        <w:spacing w:after="200" w:before="400"/>
      </w:pPr>
      <w:r>
        <w:rPr>
          <w:b/>
          <w:bCs/>
          <w:color w:val="1F3864"/>
        </w:rPr>
        <w:t xml:space="preserve">20. Anticipated Team Questions &amp; Honest Answers</w:t>
      </w:r>
    </w:p>
    <w:p>
      <w:pPr>
        <w:pStyle w:val="Heading3"/>
        <w:spacing w:after="80" w:before="200"/>
      </w:pPr>
      <w:r>
        <w:rPr>
          <w:b/>
          <w:bCs/>
          <w:color w:val="333333"/>
        </w:rPr>
        <w:t xml:space="preserve">“Why can't we just call Meridian's REST API directly and skip all this?”</w:t>
      </w:r>
    </w:p>
    <w:p>
      <w:pPr>
        <w:spacing w:after="120"/>
      </w:pPr>
      <w:r>
        <w:t xml:space="preserve">Technically you could, for this one app. It's mandated because Harbor is the org-standard BFF (backend-for-frontend) pattern — the tradeoff is real onboarding friction now, in exchange for shared infrastructure and governance later.</w:t>
      </w:r>
    </w:p>
    <w:p>
      <w:pPr>
        <w:pStyle w:val="Heading3"/>
        <w:spacing w:after="80" w:before="200"/>
      </w:pPr>
      <w:r>
        <w:rPr>
          <w:b/>
          <w:bCs/>
          <w:color w:val="333333"/>
        </w:rPr>
        <w:t xml:space="preserve">“Why do we need special access just to add our own fields?”</w:t>
      </w:r>
    </w:p>
    <w:p>
      <w:pPr>
        <w:spacing w:after="120"/>
      </w:pPr>
      <w:r>
        <w:t xml:space="preserve">Because the code runs inside the same running process that every other team's code runs in — a bad merge could break GraphQL for everyone, not just us. That's why there's a review gate, and why write access to the repo isn't handed out by default.</w:t>
      </w:r>
    </w:p>
    <w:p>
      <w:pPr>
        <w:pStyle w:val="Heading3"/>
        <w:spacing w:after="80" w:before="200"/>
      </w:pPr>
      <w:r>
        <w:rPr>
          <w:b/>
          <w:bCs/>
          <w:color w:val="333333"/>
        </w:rPr>
        <w:t xml:space="preserve">“Is any of this live yet?”</w:t>
      </w:r>
    </w:p>
    <w:p>
      <w:pPr>
        <w:spacing w:after="120"/>
      </w:pPr>
      <w:r>
        <w:t xml:space="preserve">No. Nothing is deployed anywhere. What exists is a pushed branch with code and schema — not yet merged, not yet reviewed, and merging alone wouldn't make it live anyway (see Section 15).</w:t>
      </w:r>
    </w:p>
    <w:p>
      <w:pPr>
        <w:pStyle w:val="Heading3"/>
        <w:spacing w:after="80" w:before="200"/>
      </w:pPr>
      <w:r>
        <w:rPr>
          <w:b/>
          <w:bCs/>
          <w:color w:val="333333"/>
        </w:rPr>
        <w:t xml:space="preserve">“Aren't Aggregators auto-generated? I read that somewhere.”</w:t>
      </w:r>
    </w:p>
    <w:p>
      <w:pPr>
        <w:spacing w:after="120"/>
      </w:pPr>
      <w:r>
        <w:t xml:space="preserve">No — that describes a disabled, unused code-gen path. Every Aggregator today, including all of ours, is hand-written.</w:t>
      </w:r>
    </w:p>
    <w:p>
      <w:pPr>
        <w:pStyle w:val="Heading3"/>
        <w:spacing w:after="80" w:before="200"/>
      </w:pPr>
      <w:r>
        <w:rPr>
          <w:b/>
          <w:bCs/>
          <w:color w:val="333333"/>
        </w:rPr>
        <w:t xml:space="preserve">“What happens if the REST call fails?”</w:t>
      </w:r>
    </w:p>
    <w:p>
      <w:pPr>
        <w:spacing w:after="120"/>
      </w:pPr>
      <w:r>
        <w:t xml:space="preserve">It doesn't crash the whole response. GraphQL still returns HTTP 200, with the specific field's error captured inside the graphErrors array — verified directly against source, not assumed from docs.</w:t>
      </w:r>
    </w:p>
    <w:p>
      <w:pPr>
        <w:pStyle w:val="Heading3"/>
        <w:spacing w:after="80" w:before="200"/>
      </w:pPr>
      <w:r>
        <w:rPr>
          <w:b/>
          <w:bCs/>
          <w:color w:val="333333"/>
        </w:rPr>
        <w:t xml:space="preserve">“Can we just build our own separate version of this instead, to move faster?”</w:t>
      </w:r>
    </w:p>
    <w:p>
      <w:pPr>
        <w:spacing w:after="120"/>
      </w:pPr>
      <w:r>
        <w:t xml:space="preserve">No — the frontend is hardcoded to call Harbor's one specific URL. A separate server, hosted anywhere else, is just code nobody would ever call.</w:t>
      </w:r>
    </w:p>
    <w:p>
      <w:pPr>
        <w:pStyle w:val="Heading3"/>
        <w:spacing w:after="80" w:before="200"/>
      </w:pPr>
      <w:r>
        <w:rPr>
          <w:b/>
          <w:bCs/>
          <w:color w:val="333333"/>
        </w:rPr>
        <w:t xml:space="preserve">“Why does the SDL use bare arguments instead of a single wrapped input object, like the rest of the codebase's convention?”</w:t>
      </w:r>
    </w:p>
    <w:p>
      <w:pPr>
        <w:spacing w:after="120"/>
      </w:pPr>
      <w:r>
        <w:t xml:space="preserve">Because that was explicit, deliberate guidance from the UI team, documented in their own HLD and Solutioning docs, and matches the UI team's own example queries. It looks like a deviation from convention, but it's a specific requirement, not an oversight.</w:t>
      </w:r>
    </w:p>
    <w:p>
      <w:pPr>
        <w:pStyle w:val="Heading3"/>
        <w:spacing w:after="80" w:before="200"/>
      </w:pPr>
      <w:r>
        <w:rPr>
          <w:b/>
          <w:bCs/>
          <w:color w:val="333333"/>
        </w:rPr>
        <w:t xml:space="preserve">“If my PR gets accepted, will it deploy automatically?”</w:t>
      </w:r>
    </w:p>
    <w:p>
      <w:pPr>
        <w:spacing w:after="120"/>
      </w:pPr>
      <w:r>
        <w:t xml:space="preserve">No — merge and deploy are two separate steps with two separate access chains. See Section 15 for the full explanation and Section 16 for exactly what to ask your mentor for next.</w:t>
      </w:r>
    </w:p>
    <w:p>
      <w:pPr>
        <w:pStyle w:val="Heading1"/>
        <w:pBdr>
          <w:bottom w:val="single" w:color="0F6B72" w:sz="8" w:space="4"/>
        </w:pBdr>
        <w:spacing w:after="200" w:before="400"/>
      </w:pPr>
      <w:r>
        <w:rPr>
          <w:b/>
          <w:bCs/>
          <w:color w:val="1F3864"/>
        </w:rPr>
        <w:t xml:space="preserve">21. Open Items Needing a Decision From You</w:t>
      </w:r>
    </w:p>
    <w:p>
      <w:pPr>
        <w:pStyle w:val="ListParagraph"/>
        <w:numPr>
          <w:ilvl w:val="0"/>
          <w:numId w:val="9"/>
        </w:numPr>
        <w:spacing w:after="80"/>
      </w:pPr>
      <w:r>
        <w:t xml:space="preserve">Which branch the misplaced compareVs commit on j6-hive-es-sink should actually be relocated to.</w:t>
      </w:r>
    </w:p>
    <w:p>
      <w:pPr>
        <w:pStyle w:val="ListParagraph"/>
        <w:numPr>
          <w:ilvl w:val="0"/>
          <w:numId w:val="9"/>
        </w:numPr>
        <w:spacing w:after="80"/>
      </w:pPr>
      <w:r>
        <w:t xml:space="preserve">Whether to open the PR for instock-monitoring-sdl-vajram now, or wait.</w:t>
      </w:r>
    </w:p>
    <w:p>
      <w:pPr>
        <w:pStyle w:val="ListParagraph"/>
        <w:numPr>
          <w:ilvl w:val="0"/>
          <w:numId w:val="9"/>
        </w:numPr>
        <w:spacing w:after="80"/>
      </w:pPr>
      <w:r>
        <w:t xml:space="preserve">Whether to ask your mentor for a dev/preprod deployment now (schema-only validation) or wait until the config/auth gaps are also closed — see Section 16 for the staged-plan tradeoff.</w:t>
      </w:r>
    </w:p>
    <w:p>
      <w:pPr>
        <w:pStyle w:val="ListParagraph"/>
        <w:numPr>
          <w:ilvl w:val="0"/>
          <w:numId w:val="9"/>
        </w:numPr>
        <w:spacing w:after="80"/>
      </w:pPr>
      <w:r>
        <w:t xml:space="preserve">lowInstockStores: add a cityCode field to the REST response, or drop the city-code/name split from the GraphQL schema.</w:t>
      </w:r>
    </w:p>
    <w:p>
      <w:pPr>
        <w:pStyle w:val="ListParagraph"/>
        <w:numPr>
          <w:ilvl w:val="0"/>
          <w:numId w:val="9"/>
        </w:numPr>
        <w:spacing w:after="80"/>
      </w:pPr>
      <w:r>
        <w:t xml:space="preserve">createExportJob: confirm the dispatch logic between the OOS export endpoint and the 4 RCA export types.</w:t>
      </w:r>
    </w:p>
    <w:p>
      <w:pPr>
        <w:pStyle w:val="ListParagraph"/>
        <w:numPr>
          <w:ilvl w:val="0"/>
          <w:numId w:val="9"/>
        </w:numPr>
        <w:spacing w:after="80"/>
      </w:pPr>
      <w:r>
        <w:t xml:space="preserve">rootCauseDrillDown: confirm the exact mapping of each “bucket” argument value to its corresponding REST endpoint.</w:t>
      </w:r>
    </w:p>
    <w:p>
      <w:pPr>
        <w:pStyle w:val="ListParagraph"/>
        <w:numPr>
          <w:ilvl w:val="0"/>
          <w:numId w:val="9"/>
        </w:numPr>
        <w:spacing w:after="80"/>
      </w:pPr>
      <w:r>
        <w:t xml:space="preserve">The exact Authn targetClientId string for Meridian's serving layer — ask the Harbor platform team directly (Section 16).</w:t>
      </w:r>
    </w:p>
    <w:p>
      <w:pPr>
        <w:pStyle w:val="ListParagraph"/>
        <w:numPr>
          <w:ilvl w:val="0"/>
          <w:numId w:val="9"/>
        </w:numPr>
        <w:spacing w:after="80"/>
      </w:pPr>
      <w:r>
        <w:t xml:space="preserve">Real host/port values for the remote config bucket — ask directly how to get values in (Section 16).</w:t>
      </w:r>
    </w:p>
    <w:p>
      <w:pPr>
        <w:pStyle w:val="ListParagraph"/>
        <w:numPr>
          <w:ilvl w:val="0"/>
          <w:numId w:val="9"/>
        </w:numPr>
        <w:spacing w:after="80"/>
      </w:pPr>
      <w:r>
        <w:t xml:space="preserve">Resolution on the 3 open UX items (fsn/fsns plurality scope, the “poor performing vs. all” toggle, the on-load pick list) — needs either direct Figma/Netlify access restored, or someone to relay screenshots.</w:t>
      </w:r>
    </w:p>
    <w:p>
      <w:pPr>
        <w:pStyle w:val="ListParagraph"/>
        <w:numPr>
          <w:ilvl w:val="0"/>
          <w:numId w:val="9"/>
        </w:numPr>
        <w:spacing w:after="80"/>
      </w:pPr>
      <w:r>
        <w:t xml:space="preserve">Whether meridian-ui (React) frontend work is actually wanted from this workstream, given the earlier scope-confusion moment where that was asked but never confirmed.</w:t>
      </w:r>
    </w:p>
    <w:p>
      <w:pPr>
        <w:pBdr>
          <w:top w:val="single" w:color="AAAAAA" w:sz="6" w:space="8"/>
        </w:pBdr>
        <w:spacing w:before="400"/>
      </w:pPr>
      <w:r>
        <w:rPr>
          <w:i/>
          <w:iCs/>
          <w:color w:val="595959"/>
          <w:sz w:val="20"/>
          <w:szCs w:val="20"/>
        </w:rPr>
        <w:t xml:space="preserve">End of document.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lvl w:ilvl="2" w15:tentative="1">
      <w:start w:val="1"/>
      <w:numFmt w:val="bullet"/>
      <w:lvlText w:val="▪"/>
      <w:lvlJc w:val="left"/>
      <w:pPr>
        <w:ind w:left="126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abstractNum w:abstractNumId="5" w15:restartNumberingAfterBreak="0">
    <w:multiLevelType w:val="hybridMultilevel"/>
    <w:lvl w:ilvl="0" w15:tentative="1">
      <w:start w:val="1"/>
      <w:numFmt w:val="decimal"/>
      <w:lvlText w:val="%1."/>
      <w:lvlJc w:val="left"/>
      <w:pPr>
        <w:ind w:left="420" w:hanging="260"/>
      </w:pPr>
    </w:lvl>
  </w:abstractNum>
  <w:abstractNum w:abstractNumId="6" w15:restartNumberingAfterBreak="0">
    <w:multiLevelType w:val="hybridMultilevel"/>
    <w:lvl w:ilvl="0" w15:tentative="1">
      <w:start w:val="1"/>
      <w:numFmt w:val="decimal"/>
      <w:lvlText w:val="%1."/>
      <w:lvlJc w:val="left"/>
      <w:pPr>
        <w:ind w:left="420" w:hanging="260"/>
      </w:pPr>
    </w:lvl>
  </w:abstractNum>
  <w:abstractNum w:abstractNumId="7" w15:restartNumberingAfterBreak="0">
    <w:multiLevelType w:val="hybridMultilevel"/>
    <w:lvl w:ilvl="0" w15:tentative="1">
      <w:start w:val="1"/>
      <w:numFmt w:val="decimal"/>
      <w:lvlText w:val="%1."/>
      <w:lvlJc w:val="left"/>
      <w:pPr>
        <w:ind w:left="420" w:hanging="260"/>
      </w:pPr>
    </w:lvl>
  </w:abstractNum>
  <w:abstractNum w:abstractNumId="8" w15:restartNumberingAfterBreak="0">
    <w:multiLevelType w:val="hybridMultilevel"/>
    <w:lvl w:ilvl="0" w15:tentative="1">
      <w:start w:val="1"/>
      <w:numFmt w:val="decimal"/>
      <w:lvlText w:val="%1."/>
      <w:lvlJc w:val="left"/>
      <w:pPr>
        <w:ind w:left="420" w:hanging="260"/>
      </w:pPr>
    </w:lvl>
  </w:abstractNum>
  <w:abstractNum w:abstractNumId="9" w15:restartNumberingAfterBreak="0">
    <w:multiLevelType w:val="hybridMultilevel"/>
    <w:lvl w:ilvl="0" w15:tentative="1">
      <w:start w:val="1"/>
      <w:numFmt w:val="decimal"/>
      <w:lvlText w:val="%1."/>
      <w:lvlJc w:val="left"/>
      <w:pPr>
        <w:ind w:left="420" w:hanging="260"/>
      </w:pPr>
    </w:lvl>
  </w:abstractNum>
  <w:abstractNum w:abstractNumId="10" w15:restartNumberingAfterBreak="0">
    <w:multiLevelType w:val="hybridMultilevel"/>
    <w:lvl w:ilvl="0" w15:tentative="1">
      <w:start w:val="1"/>
      <w:numFmt w:val="decimal"/>
      <w:lvlText w:val="%1."/>
      <w:lvlJc w:val="left"/>
      <w:pPr>
        <w:ind w:left="420" w:hanging="260"/>
      </w:pPr>
    </w:lvl>
  </w:abstractNum>
  <w:abstractNum w:abstractNumId="11" w15:restartNumberingAfterBreak="0">
    <w:multiLevelType w:val="hybridMultilevel"/>
    <w:lvl w:ilvl="0" w15:tentative="1">
      <w:start w:val="1"/>
      <w:numFmt w:val="decimal"/>
      <w:lvlText w:val="%1."/>
      <w:lvlJc w:val="left"/>
      <w:pPr>
        <w:ind w:left="420" w:hanging="260"/>
      </w:pPr>
    </w:lvl>
  </w:abstractNum>
  <w:abstractNum w:abstractNumId="12" w15:restartNumberingAfterBreak="0">
    <w:multiLevelType w:val="hybridMultilevel"/>
    <w:lvl w:ilvl="0" w15:tentative="1">
      <w:start w:val="1"/>
      <w:numFmt w:val="decimal"/>
      <w:lvlText w:val="%1."/>
      <w:lvlJc w:val="left"/>
      <w:pPr>
        <w:ind w:left="420" w:hanging="260"/>
      </w:pPr>
    </w:lvl>
  </w:abstractNum>
  <w:abstractNum w:abstractNumId="13" w15:restartNumberingAfterBreak="0">
    <w:multiLevelType w:val="hybridMultilevel"/>
    <w:lvl w:ilvl="0" w15:tentative="1">
      <w:start w:val="1"/>
      <w:numFmt w:val="decimal"/>
      <w:lvlText w:val="%1."/>
      <w:lvlJc w:val="left"/>
      <w:pPr>
        <w:ind w:left="420" w:hanging="260"/>
      </w:pPr>
    </w:lvl>
  </w:abstractNum>
  <w:abstractNum w:abstractNumId="14" w15:restartNumberingAfterBreak="0">
    <w:multiLevelType w:val="hybridMultilevel"/>
    <w:lvl w:ilvl="0" w15:tentative="1">
      <w:start w:val="1"/>
      <w:numFmt w:val="decimal"/>
      <w:lvlText w:val="%1."/>
      <w:lvlJc w:val="left"/>
      <w:pPr>
        <w:ind w:left="420" w:hanging="260"/>
      </w:pPr>
    </w:lvl>
  </w:abstractNum>
  <w:abstractNum w:abstractNumId="15" w15:restartNumberingAfterBreak="0">
    <w:multiLevelType w:val="hybridMultilevel"/>
    <w:lvl w:ilvl="0" w15:tentative="1">
      <w:start w:val="1"/>
      <w:numFmt w:val="decimal"/>
      <w:lvlText w:val="%1."/>
      <w:lvlJc w:val="left"/>
      <w:pPr>
        <w:ind w:left="420" w:hanging="260"/>
      </w:pPr>
    </w:lvl>
  </w:abstractNum>
  <w:abstractNum w:abstractNumId="16" w15:restartNumberingAfterBreak="0">
    <w:multiLevelType w:val="hybridMultilevel"/>
    <w:lvl w:ilvl="0" w15:tentative="1">
      <w:start w:val="1"/>
      <w:numFmt w:val="decimal"/>
      <w:lvlText w:val="%1."/>
      <w:lvlJc w:val="left"/>
      <w:pPr>
        <w:ind w:left="420" w:hanging="260"/>
      </w:pPr>
    </w:lvl>
  </w:abstractNum>
  <w:abstractNum w:abstractNumId="17" w15:restartNumberingAfterBreak="0">
    <w:multiLevelType w:val="hybridMultilevel"/>
    <w:lvl w:ilvl="0" w15:tentative="1">
      <w:start w:val="1"/>
      <w:numFmt w:val="decimal"/>
      <w:lvlText w:val="%1."/>
      <w:lvlJc w:val="left"/>
      <w:pPr>
        <w:ind w:left="420" w:hanging="260"/>
      </w:pPr>
    </w:lvl>
  </w:abstractNum>
  <w:abstractNum w:abstractNumId="18" w15:restartNumberingAfterBreak="0">
    <w:multiLevelType w:val="hybridMultilevel"/>
    <w:lvl w:ilvl="0" w15:tentative="1">
      <w:start w:val="1"/>
      <w:numFmt w:val="decimal"/>
      <w:lvlText w:val="%1."/>
      <w:lvlJc w:val="left"/>
      <w:pPr>
        <w:ind w:left="420" w:hanging="260"/>
      </w:pPr>
    </w:lvl>
  </w:abstractNum>
  <w:abstractNum w:abstractNumId="19" w15:restartNumberingAfterBreak="0">
    <w:multiLevelType w:val="hybridMultilevel"/>
    <w:lvl w:ilvl="0" w15:tentative="1">
      <w:start w:val="1"/>
      <w:numFmt w:val="decimal"/>
      <w:lvlText w:val="%1."/>
      <w:lvlJc w:val="left"/>
      <w:pPr>
        <w:ind w:left="420" w:hanging="260"/>
      </w:pPr>
    </w:lvl>
  </w:abstractNum>
  <w:abstractNum w:abstractNumId="20" w15:restartNumberingAfterBreak="0">
    <w:multiLevelType w:val="hybridMultilevel"/>
    <w:lvl w:ilvl="0" w15:tentative="1">
      <w:start w:val="1"/>
      <w:numFmt w:val="decimal"/>
      <w:lvlText w:val="%1."/>
      <w:lvlJc w:val="left"/>
      <w:pPr>
        <w:ind w:left="420" w:hanging="260"/>
      </w:pPr>
    </w:lvl>
  </w:abstractNum>
  <w:abstractNum w:abstractNumId="21" w15:restartNumberingAfterBreak="0">
    <w:multiLevelType w:val="hybridMultilevel"/>
    <w:lvl w:ilvl="0" w15:tentative="1">
      <w:start w:val="1"/>
      <w:numFmt w:val="decimal"/>
      <w:lvlText w:val="%1."/>
      <w:lvlJc w:val="left"/>
      <w:pPr>
        <w:ind w:left="420" w:hanging="260"/>
      </w:pPr>
    </w:lvl>
  </w:abstractNum>
  <w:abstractNum w:abstractNumId="22" w15:restartNumberingAfterBreak="0">
    <w:multiLevelType w:val="hybridMultilevel"/>
    <w:lvl w:ilvl="0" w15:tentative="1">
      <w:start w:val="1"/>
      <w:numFmt w:val="decimal"/>
      <w:lvlText w:val="%1."/>
      <w:lvlJc w:val="left"/>
      <w:pPr>
        <w:ind w:left="420" w:hanging="260"/>
      </w:pPr>
    </w:lvl>
  </w:abstractNum>
  <w:abstractNum w:abstractNumId="23" w15:restartNumberingAfterBreak="0">
    <w:multiLevelType w:val="hybridMultilevel"/>
    <w:lvl w:ilvl="0" w15:tentative="1">
      <w:start w:val="1"/>
      <w:numFmt w:val="decimal"/>
      <w:lvlText w:val="%1."/>
      <w:lvlJc w:val="left"/>
      <w:pPr>
        <w:ind w:left="420" w:hanging="260"/>
      </w:pPr>
    </w:lvl>
  </w:abstractNum>
  <w:abstractNum w:abstractNumId="24" w15:restartNumberingAfterBreak="0">
    <w:multiLevelType w:val="hybridMultilevel"/>
    <w:lvl w:ilvl="0" w15:tentative="1">
      <w:start w:val="1"/>
      <w:numFmt w:val="decimal"/>
      <w:lvlText w:val="%1."/>
      <w:lvlJc w:val="left"/>
      <w:pPr>
        <w:ind w:left="420" w:hanging="260"/>
      </w:pPr>
    </w:lvl>
  </w:abstractNum>
  <w:abstractNum w:abstractNumId="25" w15:restartNumberingAfterBreak="0">
    <w:multiLevelType w:val="hybridMultilevel"/>
    <w:lvl w:ilvl="0" w15:tentative="1">
      <w:start w:val="1"/>
      <w:numFmt w:val="decimal"/>
      <w:lvlText w:val="%1."/>
      <w:lvlJc w:val="left"/>
      <w:pPr>
        <w:ind w:left="420" w:hanging="260"/>
      </w:pPr>
    </w:lvl>
  </w:abstractNum>
  <w:abstractNum w:abstractNumId="26" w15:restartNumberingAfterBreak="0">
    <w:multiLevelType w:val="hybridMultilevel"/>
    <w:lvl w:ilvl="0" w15:tentative="1">
      <w:start w:val="1"/>
      <w:numFmt w:val="decimal"/>
      <w:lvlText w:val="%1."/>
      <w:lvlJc w:val="left"/>
      <w:pPr>
        <w:ind w:left="420" w:hanging="260"/>
      </w:pPr>
    </w:lvl>
  </w:abstractNum>
  <w:abstractNum w:abstractNumId="27" w15:restartNumberingAfterBreak="0">
    <w:multiLevelType w:val="hybridMultilevel"/>
    <w:lvl w:ilvl="0" w15:tentative="1">
      <w:start w:val="1"/>
      <w:numFmt w:val="decimal"/>
      <w:lvlText w:val="%1."/>
      <w:lvlJc w:val="left"/>
      <w:pPr>
        <w:ind w:left="420" w:hanging="260"/>
      </w:pPr>
    </w:lvl>
  </w:abstractNum>
  <w:abstractNum w:abstractNumId="28" w15:restartNumberingAfterBreak="0">
    <w:multiLevelType w:val="hybridMultilevel"/>
    <w:lvl w:ilvl="0" w15:tentative="1">
      <w:start w:val="1"/>
      <w:numFmt w:val="decimal"/>
      <w:lvlText w:val="%1."/>
      <w:lvlJc w:val="left"/>
      <w:pPr>
        <w:ind w:left="420" w:hanging="260"/>
      </w:pPr>
    </w:lvl>
  </w:abstractNum>
  <w:abstractNum w:abstractNumId="29" w15:restartNumberingAfterBreak="0">
    <w:multiLevelType w:val="hybridMultilevel"/>
    <w:lvl w:ilvl="0" w15:tentative="1">
      <w:start w:val="1"/>
      <w:numFmt w:val="decimal"/>
      <w:lvlText w:val="%1."/>
      <w:lvlJc w:val="left"/>
      <w:pPr>
        <w:ind w:left="420" w:hanging="260"/>
      </w:pPr>
    </w:lvl>
  </w:abstractNum>
  <w:abstractNum w:abstractNumId="30" w15:restartNumberingAfterBreak="0">
    <w:multiLevelType w:val="hybridMultilevel"/>
    <w:lvl w:ilvl="0" w15:tentative="1">
      <w:start w:val="1"/>
      <w:numFmt w:val="decimal"/>
      <w:lvlText w:val="%1."/>
      <w:lvlJc w:val="left"/>
      <w:pPr>
        <w:ind w:left="420" w:hanging="260"/>
      </w:pPr>
    </w:lvl>
  </w:abstractNum>
  <w:abstractNum w:abstractNumId="31" w15:restartNumberingAfterBreak="0">
    <w:multiLevelType w:val="hybridMultilevel"/>
    <w:lvl w:ilvl="0" w15:tentative="1">
      <w:start w:val="1"/>
      <w:numFmt w:val="decimal"/>
      <w:lvlText w:val="%1."/>
      <w:lvlJc w:val="left"/>
      <w:pPr>
        <w:ind w:left="420" w:hanging="260"/>
      </w:pPr>
    </w:lvl>
  </w:abstractNum>
  <w:abstractNum w:abstractNumId="32" w15:restartNumberingAfterBreak="0">
    <w:multiLevelType w:val="hybridMultilevel"/>
    <w:lvl w:ilvl="0" w15:tentative="1">
      <w:start w:val="1"/>
      <w:numFmt w:val="decimal"/>
      <w:lvlText w:val="%1."/>
      <w:lvlJc w:val="left"/>
      <w:pPr>
        <w:ind w:left="420" w:hanging="260"/>
      </w:pPr>
    </w:lvl>
  </w:abstractNum>
  <w:abstractNum w:abstractNumId="33" w15:restartNumberingAfterBreak="0">
    <w:multiLevelType w:val="hybridMultilevel"/>
    <w:lvl w:ilvl="0" w15:tentative="1">
      <w:start w:val="1"/>
      <w:numFmt w:val="decimal"/>
      <w:lvlText w:val="%1."/>
      <w:lvlJc w:val="left"/>
      <w:pPr>
        <w:ind w:left="420" w:hanging="260"/>
      </w:pPr>
    </w:lvl>
  </w:abstractNum>
  <w:abstractNum w:abstractNumId="34" w15:restartNumberingAfterBreak="0">
    <w:multiLevelType w:val="hybridMultilevel"/>
    <w:lvl w:ilvl="0" w15:tentative="1">
      <w:start w:val="1"/>
      <w:numFmt w:val="decimal"/>
      <w:lvlText w:val="%1."/>
      <w:lvlJc w:val="left"/>
      <w:pPr>
        <w:ind w:left="420" w:hanging="260"/>
      </w:pPr>
    </w:lvl>
  </w:abstractNum>
  <w:abstractNum w:abstractNumId="35" w15:restartNumberingAfterBreak="0">
    <w:multiLevelType w:val="hybridMultilevel"/>
    <w:lvl w:ilvl="0" w15:tentative="1">
      <w:start w:val="1"/>
      <w:numFmt w:val="decimal"/>
      <w:lvlText w:val="%1."/>
      <w:lvlJc w:val="left"/>
      <w:pPr>
        <w:ind w:left="420" w:hanging="260"/>
      </w:pPr>
    </w:lvl>
  </w:abstractNum>
  <w:abstractNum w:abstractNumId="36" w15:restartNumberingAfterBreak="0">
    <w:multiLevelType w:val="hybridMultilevel"/>
    <w:lvl w:ilvl="0" w15:tentative="1">
      <w:start w:val="1"/>
      <w:numFmt w:val="decimal"/>
      <w:lvlText w:val="%1."/>
      <w:lvlJc w:val="left"/>
      <w:pPr>
        <w:ind w:left="420" w:hanging="260"/>
      </w:pPr>
    </w:lvl>
  </w:abstractNum>
  <w:abstractNum w:abstractNumId="37" w15:restartNumberingAfterBreak="0">
    <w:multiLevelType w:val="hybridMultilevel"/>
    <w:lvl w:ilvl="0" w15:tentative="1">
      <w:start w:val="1"/>
      <w:numFmt w:val="decimal"/>
      <w:lvlText w:val="%1."/>
      <w:lvlJc w:val="left"/>
      <w:pPr>
        <w:ind w:left="420" w:hanging="260"/>
      </w:pPr>
    </w:lvl>
  </w:abstractNum>
  <w:abstractNum w:abstractNumId="38" w15:restartNumberingAfterBreak="0">
    <w:multiLevelType w:val="hybridMultilevel"/>
    <w:lvl w:ilvl="0" w15:tentative="1">
      <w:start w:val="1"/>
      <w:numFmt w:val="decimal"/>
      <w:lvlText w:val="%1."/>
      <w:lvlJc w:val="left"/>
      <w:pPr>
        <w:ind w:left="420" w:hanging="260"/>
      </w:pPr>
    </w:lvl>
  </w:abstractNum>
  <w:abstractNum w:abstractNumId="39" w15:restartNumberingAfterBreak="0">
    <w:multiLevelType w:val="hybridMultilevel"/>
    <w:lvl w:ilvl="0" w15:tentative="1">
      <w:start w:val="1"/>
      <w:numFmt w:val="decimal"/>
      <w:lvlText w:val="%1."/>
      <w:lvlJc w:val="left"/>
      <w:pPr>
        <w:ind w:left="420" w:hanging="260"/>
      </w:pPr>
    </w:lvl>
  </w:abstractNum>
  <w:abstractNum w:abstractNumId="40" w15:restartNumberingAfterBreak="0">
    <w:multiLevelType w:val="hybridMultilevel"/>
    <w:lvl w:ilvl="0" w15:tentative="1">
      <w:start w:val="1"/>
      <w:numFmt w:val="decimal"/>
      <w:lvlText w:val="%1."/>
      <w:lvlJc w:val="left"/>
      <w:pPr>
        <w:ind w:left="420" w:hanging="260"/>
      </w:pPr>
    </w:lvl>
  </w:abstractNum>
  <w:abstractNum w:abstractNumId="41" w15:restartNumberingAfterBreak="0">
    <w:multiLevelType w:val="hybridMultilevel"/>
    <w:lvl w:ilvl="0" w15:tentative="1">
      <w:start w:val="1"/>
      <w:numFmt w:val="decimal"/>
      <w:lvlText w:val="%1."/>
      <w:lvlJc w:val="left"/>
      <w:pPr>
        <w:ind w:left="420" w:hanging="260"/>
      </w:pPr>
    </w:lvl>
  </w:abstractNum>
  <w:abstractNum w:abstractNumId="42"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13"/>
    <w:lvlOverride w:ilvl="0">
      <w:startOverride w:val="1"/>
    </w:lvlOverride>
  </w:num>
  <w:num w:numId="5">
    <w:abstractNumId w:val="14"/>
    <w:lvlOverride w:ilvl="0">
      <w:startOverride w:val="1"/>
    </w:lvlOverride>
  </w:num>
  <w:num w:numId="6">
    <w:abstractNumId w:val="15"/>
    <w:lvlOverride w:ilvl="0">
      <w:startOverride w:val="1"/>
    </w:lvlOverride>
  </w:num>
  <w:num w:numId="7">
    <w:abstractNumId w:val="23"/>
    <w:lvlOverride w:ilvl="0">
      <w:startOverride w:val="1"/>
    </w:lvlOverride>
  </w:num>
  <w:num w:numId="8">
    <w:abstractNumId w:val="24"/>
    <w:lvlOverride w:ilvl="0">
      <w:startOverride w:val="1"/>
    </w:lvlOverride>
  </w:num>
  <w:num w:numId="9">
    <w:abstractNumId w:val="2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zu7jtvpuuuf6wtpnzeli" Type="http://schemas.openxmlformats.org/officeDocument/2006/relationships/hyperlink" Target="https://github.fkinternal.com/Flipkart/fk-mart-api-orchestrator/pull/new/instock-monitoring-sdl-vajram"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2026-07-13T06:04:38.123Z</dcterms:created>
  <dcterms:modified xsi:type="dcterms:W3CDTF">2026-07-13T06:04:38.140Z</dcterms:modified>
</cp:coreProperties>
</file>

<file path=docProps/custom.xml><?xml version="1.0" encoding="utf-8"?>
<Properties xmlns="http://schemas.openxmlformats.org/officeDocument/2006/custom-properties" xmlns:vt="http://schemas.openxmlformats.org/officeDocument/2006/docPropsVTypes"/>
</file>