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2"/>
          <w:szCs w:val="52"/>
        </w:rPr>
        <w:t xml:space="preserve">HARBOR &amp; INSTOCK MONITORING</w:t>
      </w:r>
    </w:p>
    <w:p>
      <w:pPr>
        <w:spacing w:after="100" w:before="100"/>
        <w:jc w:val="center"/>
      </w:pPr>
      <w:r>
        <w:rPr>
          <w:b/>
          <w:bCs/>
          <w:color w:val="0F6B72"/>
          <w:sz w:val="30"/>
          <w:szCs w:val="30"/>
        </w:rPr>
        <w:t xml:space="preserve">Full Technical &amp; Team Briefing Document</w:t>
      </w:r>
    </w:p>
    <w:p>
      <w:pPr>
        <w:spacing w:after="400"/>
        <w:jc w:val="center"/>
      </w:pPr>
      <w:r>
        <w:rPr>
          <w:i/>
          <w:iCs/>
          <w:color w:val="595959"/>
          <w:sz w:val="22"/>
          <w:szCs w:val="22"/>
        </w:rPr>
        <w:t xml:space="preserve">GraphQL Orchestration for Flipkart Minutes — Replenishment Control Tower (Meridian)</w:t>
      </w: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EAEFF7" w:val="clear"/>
            <w:tcMar>
              <w:top w:type="dxa" w:w="120"/>
              <w:left w:type="dxa" w:w="180"/>
              <w:bottom w:type="dxa" w:w="120"/>
              <w:right w:type="dxa" w:w="180"/>
            </w:tcMar>
          </w:tcPr>
          <w:p>
            <w:pPr>
              <w:spacing w:after="60"/>
            </w:pPr>
            <w:r>
              <w:rPr>
                <w:b/>
                <w:bCs/>
                <w:color w:val="1F3864"/>
              </w:rPr>
              <w:t xml:space="preserve">Purpose of this document</w:t>
            </w:r>
          </w:p>
          <w:p>
            <w:pPr>
              <w:spacing w:after="40"/>
            </w:pPr>
            <w:r>
              <w:t xml:space="preserve">This document consolidates everything covered across the working sessions on onboarding Meridian's Instock Monitoring feature onto Harbor (fk-mart-api-orchestrator) — the architecture, what was actually built, every bug found, every access/process issue hit, and every open question. It is written so it can be used directly to brief a team, with a dedicated Q&amp;A section for likely pushback.</w:t>
            </w:r>
          </w:p>
          <w:p>
            <w:pPr>
              <w:spacing w:after="40"/>
            </w:pPr>
            <w:r>
              <w:t xml:space="preserve">Nothing from the source sessions has been trimmed for brevity — this is the complete picture, organized for teaching rather than chronology.</w:t>
            </w:r>
          </w:p>
        </w:tc>
      </w:tr>
    </w:tbl>
    <w:p>
      <w:r>
        <w:br w:type="page"/>
      </w:r>
    </w:p>
    <w:p>
      <w:pPr>
        <w:pStyle w:val="Heading1"/>
        <w:pBdr>
          <w:bottom w:val="single" w:color="0F6B72" w:sz="8" w:space="4"/>
        </w:pBdr>
        <w:spacing w:after="200" w:before="400"/>
      </w:pPr>
      <w:r>
        <w:rPr>
          <w:b/>
          <w:bCs/>
          <w:color w:val="1F3864"/>
        </w:rPr>
        <w:t xml:space="preserve">Contents</w:t>
      </w:r>
    </w:p>
    <w:p>
      <w:pPr>
        <w:pStyle w:val="ListParagraph"/>
        <w:numPr>
          <w:ilvl w:val="0"/>
          <w:numId w:val="2"/>
        </w:numPr>
        <w:spacing w:after="80"/>
      </w:pPr>
      <w:r>
        <w:t xml:space="preserve">1. Executive Summary</w:t>
      </w:r>
    </w:p>
    <w:p>
      <w:pPr>
        <w:pStyle w:val="ListParagraph"/>
        <w:numPr>
          <w:ilvl w:val="0"/>
          <w:numId w:val="2"/>
        </w:numPr>
        <w:spacing w:after="80"/>
      </w:pPr>
      <w:r>
        <w:t xml:space="preserve">2. What Harbor Actually Is</w:t>
      </w:r>
    </w:p>
    <w:p>
      <w:pPr>
        <w:pStyle w:val="ListParagraph"/>
        <w:numPr>
          <w:ilvl w:val="0"/>
          <w:numId w:val="2"/>
        </w:numPr>
        <w:spacing w:after="80"/>
      </w:pPr>
      <w:r>
        <w:t xml:space="preserve">3. Why GraphQL / Why Harbor — the Honest Case</w:t>
      </w:r>
    </w:p>
    <w:p>
      <w:pPr>
        <w:pStyle w:val="ListParagraph"/>
        <w:numPr>
          <w:ilvl w:val="0"/>
          <w:numId w:val="2"/>
        </w:numPr>
        <w:spacing w:after="80"/>
      </w:pPr>
      <w:r>
        <w:t xml:space="preserve">4. The Core Building Blocks (Vajrams, Aggregators, Krystal)</w:t>
      </w:r>
    </w:p>
    <w:p>
      <w:pPr>
        <w:pStyle w:val="ListParagraph"/>
        <w:numPr>
          <w:ilvl w:val="0"/>
          <w:numId w:val="2"/>
        </w:numPr>
        <w:spacing w:after="80"/>
      </w:pPr>
      <w:r>
        <w:t xml:space="preserve">5. How a Request Actually Flows, End to End</w:t>
      </w:r>
    </w:p>
    <w:p>
      <w:pPr>
        <w:pStyle w:val="ListParagraph"/>
        <w:numPr>
          <w:ilvl w:val="0"/>
          <w:numId w:val="2"/>
        </w:numPr>
        <w:spacing w:after="80"/>
      </w:pPr>
      <w:r>
        <w:t xml:space="preserve">6. What Was Actually Built</w:t>
      </w:r>
    </w:p>
    <w:p>
      <w:pPr>
        <w:pStyle w:val="ListParagraph"/>
        <w:numPr>
          <w:ilvl w:val="0"/>
          <w:numId w:val="2"/>
        </w:numPr>
        <w:spacing w:after="80"/>
      </w:pPr>
      <w:r>
        <w:t xml:space="preserve">7. What Is Still Not Built, and Why</w:t>
      </w:r>
    </w:p>
    <w:p>
      <w:pPr>
        <w:pStyle w:val="ListParagraph"/>
        <w:numPr>
          <w:ilvl w:val="0"/>
          <w:numId w:val="2"/>
        </w:numPr>
        <w:spacing w:after="80"/>
      </w:pPr>
      <w:r>
        <w:t xml:space="preserve">8. Real Bugs Found and Fixed</w:t>
      </w:r>
    </w:p>
    <w:p>
      <w:pPr>
        <w:pStyle w:val="ListParagraph"/>
        <w:numPr>
          <w:ilvl w:val="0"/>
          <w:numId w:val="2"/>
        </w:numPr>
        <w:spacing w:after="80"/>
      </w:pPr>
      <w:r>
        <w:t xml:space="preserve">9. Key Technical Mechanisms Verified Against Real Source Code</w:t>
      </w:r>
    </w:p>
    <w:p>
      <w:pPr>
        <w:pStyle w:val="ListParagraph"/>
        <w:numPr>
          <w:ilvl w:val="0"/>
          <w:numId w:val="2"/>
        </w:numPr>
        <w:spacing w:after="80"/>
      </w:pPr>
      <w:r>
        <w:t xml:space="preserve">10. Contract / Schema Corrections from UX Review</w:t>
      </w:r>
    </w:p>
    <w:p>
      <w:pPr>
        <w:pStyle w:val="ListParagraph"/>
        <w:numPr>
          <w:ilvl w:val="0"/>
          <w:numId w:val="2"/>
        </w:numPr>
        <w:spacing w:after="80"/>
      </w:pPr>
      <w:r>
        <w:t xml:space="preserve">11. Access, Repo-Boundary, and Process Issues</w:t>
      </w:r>
    </w:p>
    <w:p>
      <w:pPr>
        <w:pStyle w:val="ListParagraph"/>
        <w:numPr>
          <w:ilvl w:val="0"/>
          <w:numId w:val="2"/>
        </w:numPr>
        <w:spacing w:after="80"/>
      </w:pPr>
      <w:r>
        <w:t xml:space="preserve">12. Mistakes Made This Session (Stated Plainly)</w:t>
      </w:r>
    </w:p>
    <w:p>
      <w:pPr>
        <w:pStyle w:val="ListParagraph"/>
        <w:numPr>
          <w:ilvl w:val="0"/>
          <w:numId w:val="2"/>
        </w:numPr>
        <w:spacing w:after="80"/>
      </w:pPr>
      <w:r>
        <w:t xml:space="preserve">13. How the Team Uses Harbor Going Forward — the Real Steps</w:t>
      </w:r>
    </w:p>
    <w:p>
      <w:pPr>
        <w:pStyle w:val="ListParagraph"/>
        <w:numPr>
          <w:ilvl w:val="0"/>
          <w:numId w:val="2"/>
        </w:numPr>
        <w:spacing w:after="80"/>
      </w:pPr>
      <w:r>
        <w:t xml:space="preserve">14. Current State Snapshot (Repos &amp; Branches)</w:t>
      </w:r>
    </w:p>
    <w:p>
      <w:pPr>
        <w:pStyle w:val="ListParagraph"/>
        <w:numPr>
          <w:ilvl w:val="0"/>
          <w:numId w:val="2"/>
        </w:numPr>
        <w:spacing w:after="80"/>
      </w:pPr>
      <w:r>
        <w:t xml:space="preserve">15. Business Context — Where This Fits in the Roadmap</w:t>
      </w:r>
    </w:p>
    <w:p>
      <w:pPr>
        <w:pStyle w:val="ListParagraph"/>
        <w:numPr>
          <w:ilvl w:val="0"/>
          <w:numId w:val="2"/>
        </w:numPr>
        <w:spacing w:after="80"/>
      </w:pPr>
      <w:r>
        <w:t xml:space="preserve">16. Anticipated Team Questions &amp; Honest Answers</w:t>
      </w:r>
    </w:p>
    <w:p>
      <w:pPr>
        <w:pStyle w:val="ListParagraph"/>
        <w:numPr>
          <w:ilvl w:val="0"/>
          <w:numId w:val="2"/>
        </w:numPr>
        <w:spacing w:after="80"/>
      </w:pPr>
      <w:r>
        <w:t xml:space="preserve">17. Open Items Needing a Decision From You</w:t>
      </w:r>
    </w:p>
    <w:p>
      <w:r>
        <w:br w:type="page"/>
      </w:r>
    </w:p>
    <w:p>
      <w:pPr>
        <w:pStyle w:val="Heading1"/>
        <w:pBdr>
          <w:bottom w:val="single" w:color="0F6B72" w:sz="8" w:space="4"/>
        </w:pBdr>
        <w:spacing w:after="200" w:before="400"/>
      </w:pPr>
      <w:r>
        <w:rPr>
          <w:b/>
          <w:bCs/>
          <w:color w:val="1F3864"/>
        </w:rPr>
        <w:t xml:space="preserve">1. Executive Summary</w:t>
      </w:r>
    </w:p>
    <w:p>
      <w:pPr>
        <w:spacing w:after="120"/>
      </w:pPr>
      <w:r>
        <w:t xml:space="preserve">Meridian is the Replenishment Control Tower for Flipkart Minutes — a Scala/Spark + MySQL backend exposing REST APIs. Its new React frontend (meridian-ui) does not call those REST APIs directly. By an architecture decision already locked by the UI team (Vaibhav's team), the frontend calls Harbor — a shared GraphQL-only API orchestrator used by multiple teams across Flipkart — which in turn calls Meridian's REST endpoints on the frontend's behalf.</w:t>
      </w:r>
    </w:p>
    <w:p>
      <w:pPr>
        <w:spacing w:after="120"/>
      </w:pPr>
      <w:r>
        <w:t xml:space="preserve">This session's work was building the GraphQL layer for a feature called “Instock Monitoring” entirely inside Harbor's own repository (fk-mart-api-orchestrator), because although the GraphQL schema (SDL) and the Vajram code are owned and authored by the Meridian backend team, they physically live inside Harbor's codebase — confirmed directly from the UI team's own design docs.</w:t>
      </w:r>
    </w:p>
    <w:tbl>
      <w:tblPr>
        <w:tblW w:type="pct" w:w="100%"/>
        <w:tblBorders>
          <w:top w:val="single" w:color="1E7A34" w:sz="4"/>
          <w:left w:val="single" w:color="1E7A34" w:sz="24"/>
          <w:bottom w:val="single" w:color="1E7A34" w:sz="4"/>
          <w:right w:val="single" w:color="1E7A34" w:sz="4"/>
          <w:insideH w:val="single" w:color="auto" w:sz="4"/>
          <w:insideV w:val="single" w:color="auto" w:sz="4"/>
        </w:tblBorders>
      </w:tblPr>
      <w:tblGrid>
        <w:gridCol w:w="100"/>
      </w:tblGrid>
      <w:tr>
        <w:tc>
          <w:tcPr>
            <w:shd w:fill="EAF6EC" w:val="clear"/>
            <w:tcMar>
              <w:top w:type="dxa" w:w="120"/>
              <w:left w:type="dxa" w:w="180"/>
              <w:bottom w:type="dxa" w:w="120"/>
              <w:right w:type="dxa" w:w="180"/>
            </w:tcMar>
          </w:tcPr>
          <w:p>
            <w:pPr>
              <w:spacing w:after="60"/>
            </w:pPr>
            <w:r>
              <w:rPr>
                <w:b/>
                <w:bCs/>
                <w:color w:val="1E7A34"/>
              </w:rPr>
              <w:t xml:space="preserve">Bottom line</w:t>
            </w:r>
          </w:p>
          <w:p>
            <w:pPr>
              <w:spacing w:after="40"/>
            </w:pPr>
            <w:r>
              <w:t xml:space="preserve">4 of 13 planned GraphQL operations for Instock Monitoring are fully built end-to-end (instockKPIs, worstFsns, exportJob, instockCities) and pushed to a branch on the real Harbor repo.</w:t>
            </w:r>
          </w:p>
          <w:p>
            <w:pPr>
              <w:spacing w:after="40"/>
            </w:pPr>
            <w:r>
              <w:t xml:space="preserve">6 more are mechanical (no open design questions) and just need to be written the same way.</w:t>
            </w:r>
          </w:p>
          <w:p>
            <w:pPr>
              <w:spacing w:after="40"/>
            </w:pPr>
            <w:r>
              <w:t xml:space="preserve">3 are genuinely complex and are flagged with the exact open question each one needs answered before they can be built.</w:t>
            </w:r>
          </w:p>
          <w:p>
            <w:pPr>
              <w:spacing w:after="40"/>
            </w:pPr>
            <w:r>
              <w:t xml:space="preserve">Nothing is merged, reviewed, or deployed yet. No PR has been opened.</w:t>
            </w:r>
          </w:p>
        </w:tc>
      </w:tr>
    </w:tbl>
    <w:p>
      <w:pPr>
        <w:pStyle w:val="Heading1"/>
        <w:pBdr>
          <w:bottom w:val="single" w:color="0F6B72" w:sz="8" w:space="4"/>
        </w:pBdr>
        <w:spacing w:after="200" w:before="400"/>
      </w:pPr>
      <w:r>
        <w:rPr>
          <w:b/>
          <w:bCs/>
          <w:color w:val="1F3864"/>
        </w:rPr>
        <w:t xml:space="preserve">2. What Harbor Actually Is</w:t>
      </w:r>
    </w:p>
    <w:p>
      <w:pPr>
        <w:spacing w:after="120"/>
      </w:pPr>
      <w:r>
        <w:t xml:space="preserve">Harbor (repo name: fk-mart-api-orchestrator) is Flipkart's single shared GraphQL server that sits between every frontend application and the many backend microservices those frontends need data from. Instead of each frontend team hand-rolling calls to N different backend REST APIs, every frontend calls Harbor once over GraphQL, and Harbor fans out to whichever backend services are actually needed to answer that query.</w:t>
      </w:r>
    </w:p>
    <w:p>
      <w:pPr>
        <w:spacing w:after="120"/>
      </w:pPr>
      <w:r>
        <w:t xml:space="preserve">Concretely, for this project: instead of </w:t>
      </w:r>
      <w:r>
        <w:rPr>
          <w:rFonts w:ascii="Consolas" w:cs="Consolas" w:eastAsia="Consolas" w:hAnsi="Consolas"/>
          <w:color w:val="8A2BE2"/>
          <w:sz w:val="20"/>
          <w:szCs w:val="20"/>
        </w:rPr>
        <w:t xml:space="preserve">meridian-ui</w:t>
      </w:r>
      <w:r>
        <w:t xml:space="preserve"> (the React app) calling Meridian's REST endpoints directly, it calls Harbor, and Harbor calls Meridian's REST endpoints on its behalf.</w:t>
      </w:r>
    </w:p>
    <w:p>
      <w:pPr>
        <w:pStyle w:val="Heading3"/>
        <w:spacing w:after="80" w:before="200"/>
      </w:pPr>
      <w:r>
        <w:rPr>
          <w:b/>
          <w:bCs/>
          <w:color w:val="333333"/>
        </w:rPr>
        <w:t xml:space="preserve">The three repositories involved, and how little they share</w:t>
      </w:r>
    </w:p>
    <w:p>
      <w:pPr>
        <w:pStyle w:val="ListParagraph"/>
        <w:numPr>
          <w:ilvl w:val="0"/>
          <w:numId w:val="2"/>
        </w:numPr>
        <w:spacing w:after="80"/>
      </w:pPr>
      <w:r>
        <w:rPr>
          <w:b/>
          <w:bCs/>
        </w:rPr>
        <w:t xml:space="preserve">meridian-ui</w:t>
      </w:r>
      <w:r>
        <w:t xml:space="preserve"> — the React frontend, owned by Vaibhav's team. Uses Apollo Client, hardcoded to call exactly one URL (a config value named </w:t>
      </w:r>
      <w:r>
        <w:rPr>
          <w:rFonts w:ascii="Consolas" w:cs="Consolas" w:eastAsia="Consolas" w:hAnsi="Consolas"/>
          <w:color w:val="8A2BE2"/>
          <w:sz w:val="20"/>
          <w:szCs w:val="20"/>
        </w:rPr>
        <w:t xml:space="preserve">meridianBackendUrl</w:t>
      </w:r>
      <w:r>
        <w:t xml:space="preserve">) — which points at Harbor, not at Meridian.</w:t>
      </w:r>
    </w:p>
    <w:p>
      <w:pPr>
        <w:pStyle w:val="ListParagraph"/>
        <w:numPr>
          <w:ilvl w:val="0"/>
          <w:numId w:val="2"/>
        </w:numPr>
        <w:spacing w:after="80"/>
      </w:pPr>
      <w:r>
        <w:rPr>
          <w:b/>
          <w:bCs/>
        </w:rPr>
        <w:t xml:space="preserve">fk-mart-api-orchestrator</w:t>
      </w:r>
      <w:r>
        <w:t xml:space="preserve"> (“Harbor”) — the shared GraphQL orchestrator, used by multiple teams (e.g. fk-seller-app, fk-mart-seller-copilot are already on it). The Meridian team's GraphQL schema and Vajram code live inside this repo, in our own team-owned files, but the repo itself is shared and multi-tenant.</w:t>
      </w:r>
    </w:p>
    <w:p>
      <w:pPr>
        <w:pStyle w:val="ListParagraph"/>
        <w:numPr>
          <w:ilvl w:val="0"/>
          <w:numId w:val="2"/>
        </w:numPr>
        <w:spacing w:after="80"/>
      </w:pPr>
      <w:r>
        <w:rPr>
          <w:b/>
          <w:bCs/>
        </w:rPr>
        <w:t xml:space="preserve">meridian</w:t>
      </w:r>
      <w:r>
        <w:t xml:space="preserve"> — the actual backend service (Scala/Spark + MySQL) exposing the REST APIs. This is where the real business logic and data live.</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Important nuance</w:t>
            </w:r>
          </w:p>
          <w:p>
            <w:pPr>
              <w:spacing w:after="40"/>
            </w:pPr>
            <w:r>
              <w:t xml:space="preserve">These are three fully separate repositories with zero shared code. They are coupled only by two contracts: the GraphQL SDL (schema) and the REST API spec (api-contract.md). Nothing else connects them.</w:t>
            </w:r>
          </w:p>
        </w:tc>
      </w:tr>
    </w:tbl>
    <w:p>
      <w:pPr>
        <w:pStyle w:val="Heading1"/>
        <w:pBdr>
          <w:bottom w:val="single" w:color="0F6B72" w:sz="8" w:space="4"/>
        </w:pBdr>
        <w:spacing w:after="200" w:before="400"/>
      </w:pPr>
      <w:r>
        <w:rPr>
          <w:b/>
          <w:bCs/>
          <w:color w:val="1F3864"/>
        </w:rPr>
        <w:t xml:space="preserve">3. Why GraphQL / Why Harbor — the Honest Case</w:t>
      </w:r>
    </w:p>
    <w:p>
      <w:pPr>
        <w:spacing w:after="120"/>
      </w:pPr>
      <w:r>
        <w:t xml:space="preserve">This is very likely the first question your team will ask, so the honest answer should be led with rather than avoided:</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The honest answer</w:t>
            </w:r>
          </w:p>
          <w:p>
            <w:pPr>
              <w:spacing w:after="40"/>
            </w:pPr>
            <w:r>
              <w:t xml:space="preserve">For this specific app, with only one backend (Meridian), GraphQL/Harbor is not a technical necessity. If meridian-ui only ever needed Meridian's REST API, calling it directly would have worked fine. It was still mandated by the org, and here is why that tradeoff was made deliberately:</w:t>
            </w:r>
          </w:p>
        </w:tc>
      </w:tr>
    </w:tbl>
    <w:p>
      <w:pPr>
        <w:pStyle w:val="ListParagraph"/>
        <w:numPr>
          <w:ilvl w:val="0"/>
          <w:numId w:val="2"/>
        </w:numPr>
        <w:spacing w:after="80"/>
      </w:pPr>
      <w:r>
        <w:rPr>
          <w:b/>
          <w:bCs/>
        </w:rPr>
        <w:t xml:space="preserve">You don't rebuild a BFF (backend-for-frontend) from scratch. </w:t>
      </w:r>
      <w:r>
        <w:t xml:space="preserve">Someone already built auth-token handling, error formatting, observability, and circuit breakers into Harbor. Skipping it means meridian-ui's own server would have to rebuild all of that itself.</w:t>
      </w:r>
    </w:p>
    <w:p>
      <w:pPr>
        <w:pStyle w:val="ListParagraph"/>
        <w:numPr>
          <w:ilvl w:val="0"/>
          <w:numId w:val="2"/>
        </w:numPr>
        <w:spacing w:after="80"/>
      </w:pPr>
      <w:r>
        <w:rPr>
          <w:b/>
          <w:bCs/>
        </w:rPr>
        <w:t xml:space="preserve">Free multi-backend aggregation the moment it's needed. </w:t>
      </w:r>
      <w:r>
        <w:t xml:space="preserve">Meridian will eventually also need Elasticsearch (for FSN/store search). Under Harbor, that's just another Vajram added to the same schema. Without Harbor, the frontend would have to juggle two different backend URLs and two different auth schemes itself.</w:t>
      </w:r>
    </w:p>
    <w:p>
      <w:pPr>
        <w:pStyle w:val="ListParagraph"/>
        <w:numPr>
          <w:ilvl w:val="0"/>
          <w:numId w:val="2"/>
        </w:numPr>
        <w:spacing w:after="80"/>
      </w:pPr>
      <w:r>
        <w:rPr>
          <w:b/>
          <w:bCs/>
        </w:rPr>
        <w:t xml:space="preserve">One schema, typed queries, real caching. </w:t>
      </w:r>
      <w:r>
        <w:t xml:space="preserve">Apollo Client gets genuine benefits here — a normalized cache for master data, no-cache for live data — that a hand-rolled REST client would not give for free.</w:t>
      </w:r>
    </w:p>
    <w:p>
      <w:pPr>
        <w:pStyle w:val="ListParagraph"/>
        <w:numPr>
          <w:ilvl w:val="0"/>
          <w:numId w:val="2"/>
        </w:numPr>
        <w:spacing w:after="80"/>
      </w:pPr>
      <w:r>
        <w:rPr>
          <w:b/>
          <w:bCs/>
        </w:rPr>
        <w:t xml:space="preserve">It's the org standard. </w:t>
      </w:r>
      <w:r>
        <w:t xml:space="preserve">Other apps (fk-seller-app, fk-mart-seller-copilot) are already on Harbor, and a schema review board exists specifically to stop ten different teams inventing ten different field names for the same concept (e.g. “instock percentage”).</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If someone pushes back with “couldn't we have just skipped this”</w:t>
            </w:r>
          </w:p>
          <w:p>
            <w:pPr>
              <w:spacing w:after="40"/>
            </w:pPr>
            <w:r>
              <w:t xml:space="preserve">“Yes, technically, for this app alone. But the org decided the tradeoff — shared infrastructure and governance, at the cost of onboarding friction — is worth it, and it's not a decision our team made on its own.”</w:t>
            </w:r>
          </w:p>
        </w:tc>
      </w:tr>
    </w:tbl>
    <w:p>
      <w:pPr>
        <w:pStyle w:val="Heading1"/>
        <w:pBdr>
          <w:bottom w:val="single" w:color="0F6B72" w:sz="8" w:space="4"/>
        </w:pBdr>
        <w:spacing w:after="200" w:before="400"/>
      </w:pPr>
      <w:r>
        <w:rPr>
          <w:b/>
          <w:bCs/>
          <w:color w:val="1F3864"/>
        </w:rPr>
        <w:t xml:space="preserve">4. The Core Building Blocks</w:t>
      </w:r>
    </w:p>
    <w:p>
      <w:pPr>
        <w:pStyle w:val="Heading3"/>
        <w:spacing w:after="80" w:before="200"/>
      </w:pPr>
      <w:r>
        <w:rPr>
          <w:b/>
          <w:bCs/>
          <w:color w:val="333333"/>
        </w:rPr>
        <w:t xml:space="preserve">SDL — Schema Definition Language</w:t>
      </w:r>
    </w:p>
    <w:p>
      <w:pPr>
        <w:spacing w:after="120"/>
      </w:pPr>
      <w:r>
        <w:t xml:space="preserve">A </w:t>
      </w:r>
      <w:r>
        <w:rPr>
          <w:rFonts w:ascii="Consolas" w:cs="Consolas" w:eastAsia="Consolas" w:hAnsi="Consolas"/>
          <w:color w:val="8A2BE2"/>
          <w:sz w:val="20"/>
          <w:szCs w:val="20"/>
        </w:rPr>
        <w:t xml:space="preserve">.graphqls</w:t>
      </w:r>
      <w:r>
        <w:t xml:space="preserve"> text file declaring what fields and types exist. It is </w:t>
      </w:r>
      <w:r>
        <w:rPr>
          <w:b/>
          <w:bCs/>
        </w:rPr>
        <w:t xml:space="preserve">not executable code</w:t>
      </w:r>
      <w:r>
        <w:t xml:space="preserve"> — just a contract. Ours consists of </w:t>
      </w:r>
      <w:r>
        <w:rPr>
          <w:rFonts w:ascii="Consolas" w:cs="Consolas" w:eastAsia="Consolas" w:hAnsi="Consolas"/>
          <w:color w:val="8A2BE2"/>
          <w:sz w:val="20"/>
          <w:szCs w:val="20"/>
        </w:rPr>
        <w:t xml:space="preserve">Replenishment.graphqls</w:t>
      </w:r>
      <w:r>
        <w:t xml:space="preserve"> (a new domain file holding the types, enums, and inputs for Instock Monitoring) plus additions to the shared </w:t>
      </w:r>
      <w:r>
        <w:rPr>
          <w:rFonts w:ascii="Consolas" w:cs="Consolas" w:eastAsia="Consolas" w:hAnsi="Consolas"/>
          <w:color w:val="8A2BE2"/>
          <w:sz w:val="20"/>
          <w:szCs w:val="20"/>
        </w:rPr>
        <w:t xml:space="preserve">query.graphqls</w:t>
      </w:r>
      <w:r>
        <w:t xml:space="preserve"> file (12 new Query fields and 1 Mutation). This SDL is literally the file the frontend's Apollo queries are written against.</w:t>
      </w:r>
    </w:p>
    <w:p>
      <w:pPr>
        <w:pStyle w:val="Heading3"/>
        <w:spacing w:after="80" w:before="200"/>
      </w:pPr>
      <w:r>
        <w:rPr>
          <w:b/>
          <w:bCs/>
          <w:color w:val="333333"/>
        </w:rPr>
        <w:t xml:space="preserve">Vajram — the atomic unit of business logic</w:t>
      </w:r>
    </w:p>
    <w:p>
      <w:pPr>
        <w:spacing w:after="120"/>
      </w:pPr>
      <w:r>
        <w:t xml:space="preserve">A Vajram is like a small, reusable function, but async/non-blocking by design. There are two kinds used here:</w:t>
      </w:r>
    </w:p>
    <w:p>
      <w:pPr>
        <w:pStyle w:val="ListParagraph"/>
        <w:numPr>
          <w:ilvl w:val="0"/>
          <w:numId w:val="2"/>
        </w:numPr>
        <w:spacing w:after="80"/>
      </w:pPr>
      <w:r>
        <w:rPr>
          <w:b/>
          <w:bCs/>
        </w:rPr>
        <w:t xml:space="preserve">IO Vajram</w:t>
      </w:r>
      <w:r>
        <w:t xml:space="preserve"> — makes the actual external network call. Example: </w:t>
      </w:r>
      <w:r>
        <w:rPr>
          <w:rFonts w:ascii="Consolas" w:cs="Consolas" w:eastAsia="Consolas" w:hAnsi="Consolas"/>
          <w:color w:val="8A2BE2"/>
          <w:sz w:val="20"/>
          <w:szCs w:val="20"/>
        </w:rPr>
        <w:t xml:space="preserve">GetInstockKpisFromService</w:t>
      </w:r>
      <w:r>
        <w:t xml:space="preserve"> is the only place in the whole chain that calls </w:t>
      </w:r>
      <w:r>
        <w:rPr>
          <w:rFonts w:ascii="Consolas" w:cs="Consolas" w:eastAsia="Consolas" w:hAnsi="Consolas"/>
          <w:color w:val="8A2BE2"/>
          <w:sz w:val="20"/>
          <w:szCs w:val="20"/>
        </w:rPr>
        <w:t xml:space="preserve">GET /api/v1/instock/kpi</w:t>
      </w:r>
      <w:r>
        <w:t xml:space="preserve">.</w:t>
      </w:r>
    </w:p>
    <w:p>
      <w:pPr>
        <w:pStyle w:val="ListParagraph"/>
        <w:numPr>
          <w:ilvl w:val="0"/>
          <w:numId w:val="2"/>
        </w:numPr>
        <w:spacing w:after="80"/>
      </w:pPr>
      <w:r>
        <w:rPr>
          <w:b/>
          <w:bCs/>
        </w:rPr>
        <w:t xml:space="preserve">Compute Vajram</w:t>
      </w:r>
      <w:r>
        <w:t xml:space="preserve"> — pure logic, no network calls, just data transformation. Example: </w:t>
      </w:r>
      <w:r>
        <w:rPr>
          <w:rFonts w:ascii="Consolas" w:cs="Consolas" w:eastAsia="Consolas" w:hAnsi="Consolas"/>
          <w:color w:val="8A2BE2"/>
          <w:sz w:val="20"/>
          <w:szCs w:val="20"/>
        </w:rPr>
        <w:t xml:space="preserve">GetInstockKpis</w:t>
      </w:r>
      <w:r>
        <w:t xml:space="preserve"> takes the raw REST JSON and maps it into the shape GraphQL expects.</w:t>
      </w:r>
    </w:p>
    <w:p>
      <w:pPr>
        <w:pStyle w:val="Heading3"/>
        <w:spacing w:after="80" w:before="200"/>
      </w:pPr>
      <w:r>
        <w:rPr>
          <w:b/>
          <w:bCs/>
          <w:color w:val="333333"/>
        </w:rPr>
        <w:t xml:space="preserve">Aggregator — the field's real entry point</w:t>
      </w:r>
    </w:p>
    <w:p>
      <w:pPr>
        <w:spacing w:after="120"/>
      </w:pPr>
      <w:r>
        <w:t xml:space="preserve">A special top-level Compute Vajram that the SDL's </w:t>
      </w:r>
      <w:r>
        <w:rPr>
          <w:rFonts w:ascii="Consolas" w:cs="Consolas" w:eastAsia="Consolas" w:hAnsi="Consolas"/>
          <w:color w:val="8A2BE2"/>
          <w:sz w:val="20"/>
          <w:szCs w:val="20"/>
        </w:rPr>
        <w:t xml:space="preserve">@dataFetcher(vajramId: "...")</w:t>
      </w:r>
      <w:r>
        <w:t xml:space="preserve"> directive actually points to. It's what Harbor invokes the moment a client asks for that field. Example: </w:t>
      </w:r>
      <w:r>
        <w:rPr>
          <w:rFonts w:ascii="Consolas" w:cs="Consolas" w:eastAsia="Consolas" w:hAnsi="Consolas"/>
          <w:color w:val="8A2BE2"/>
          <w:sz w:val="20"/>
          <w:szCs w:val="20"/>
        </w:rPr>
        <w:t xml:space="preserve">InstockKPIsGraphQLAggregator</w:t>
      </w:r>
      <w:r>
        <w:t xml:space="preserve"> binds the incoming GraphQL arguments (</w:t>
      </w:r>
      <w:r>
        <w:rPr>
          <w:rFonts w:ascii="Consolas" w:cs="Consolas" w:eastAsia="Consolas" w:hAnsi="Consolas"/>
          <w:color w:val="8A2BE2"/>
          <w:sz w:val="20"/>
          <w:szCs w:val="20"/>
        </w:rPr>
        <w:t xml:space="preserve">compareVs</w:t>
      </w:r>
      <w:r>
        <w:t xml:space="preserve">, </w:t>
      </w:r>
      <w:r>
        <w:rPr>
          <w:rFonts w:ascii="Consolas" w:cs="Consolas" w:eastAsia="Consolas" w:hAnsi="Consolas"/>
          <w:color w:val="8A2BE2"/>
          <w:sz w:val="20"/>
          <w:szCs w:val="20"/>
        </w:rPr>
        <w:t xml:space="preserve">filters</w:t>
      </w:r>
      <w:r>
        <w:t xml:space="preserve">), depends on the Compute Vajram, and decides what happens on error.</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Correction worth raising proactively with the team</w:t>
            </w:r>
          </w:p>
          <w:p>
            <w:pPr>
              <w:spacing w:after="40"/>
            </w:pPr>
            <w:r>
              <w:t xml:space="preserve">Some docs floating around describe Aggregators as “auto-generated.” This was checked directly against the real repo: every single Aggregator file — including every one built this session — is hand-written, committed source code. There is a code-gen Gradle plugin referenced in the repo, but it is explicitly disabled with a comment reading “// TODO: remove this once code gen is moved to jar,” and a related “backend-code-generation” skill file exists but is empty. The docs describe a planned future state, not the current reality. Worth surfacing this before someone in the room repeats the “auto-generated” claim.</w:t>
            </w:r>
          </w:p>
        </w:tc>
      </w:tr>
    </w:tbl>
    <w:p>
      <w:pPr>
        <w:pStyle w:val="Heading3"/>
        <w:spacing w:after="80" w:before="200"/>
      </w:pPr>
      <w:r>
        <w:rPr>
          <w:b/>
          <w:bCs/>
          <w:color w:val="333333"/>
        </w:rPr>
        <w:t xml:space="preserve">Krystal — the execution engine</w:t>
      </w:r>
    </w:p>
    <w:p>
      <w:pPr>
        <w:spacing w:after="120"/>
      </w:pPr>
      <w:r>
        <w:t xml:space="preserve">Flipkart's internal engine that actually runs these Vajram chains. Its main selling point over plain GraphQL: it executes independent fields in parallel rather than one at a time. So if a query asks for 3 unrelated fields, Krystal fires all 3 backend calls at once instead of sequentially.</w:t>
      </w:r>
    </w:p>
    <w:p>
      <w:pPr>
        <w:pStyle w:val="Heading1"/>
        <w:pBdr>
          <w:bottom w:val="single" w:color="0F6B72" w:sz="8" w:space="4"/>
        </w:pBdr>
        <w:spacing w:after="200" w:before="400"/>
      </w:pPr>
      <w:r>
        <w:rPr>
          <w:b/>
          <w:bCs/>
          <w:color w:val="1F3864"/>
        </w:rPr>
        <w:t xml:space="preserve">5. How a Request Actually Flows, End to End</w:t>
      </w:r>
    </w:p>
    <w:p>
      <w:pPr>
        <w:spacing w:after="120"/>
      </w:pPr>
      <w:r>
        <w:t xml:space="preserve">Traced concretely against real source code, using our own instockKPIs field as the example:</w:t>
      </w:r>
    </w:p>
    <w:p>
      <w:pPr>
        <w:pStyle w:val="ListParagraph"/>
        <w:numPr>
          <w:ilvl w:val="0"/>
          <w:numId w:val="3"/>
        </w:numPr>
        <w:spacing w:after="80"/>
      </w:pPr>
      <w:r>
        <w:t xml:space="preserve">React app's Apollo Client sends a POST to /graphql on Harbor, with the query and variables.</w:t>
      </w:r>
    </w:p>
    <w:p>
      <w:pPr>
        <w:pStyle w:val="ListParagraph"/>
        <w:numPr>
          <w:ilvl w:val="0"/>
          <w:numId w:val="3"/>
        </w:numPr>
        <w:spacing w:after="80"/>
      </w:pPr>
      <w:r>
        <w:t xml:space="preserve">Harbor's manager module receives it (OrchestratorServiceImpl.prepare()).</w:t>
      </w:r>
    </w:p>
    <w:p>
      <w:pPr>
        <w:pStyle w:val="ListParagraph"/>
        <w:numPr>
          <w:ilvl w:val="0"/>
          <w:numId w:val="3"/>
        </w:numPr>
        <w:spacing w:after="80"/>
      </w:pPr>
      <w:r>
        <w:t xml:space="preserve">graphql-java parses the query against the merged schema (merged across every team's SDL files).</w:t>
      </w:r>
    </w:p>
    <w:p>
      <w:pPr>
        <w:pStyle w:val="ListParagraph"/>
        <w:numPr>
          <w:ilvl w:val="0"/>
          <w:numId w:val="3"/>
        </w:numPr>
        <w:spacing w:after="80"/>
      </w:pPr>
      <w:r>
        <w:t xml:space="preserve">It sees the @dataFetcher(vajramId: "InstockKPIsGraphQLAggregator") directive on that field.</w:t>
      </w:r>
    </w:p>
    <w:p>
      <w:pPr>
        <w:pStyle w:val="ListParagraph"/>
        <w:numPr>
          <w:ilvl w:val="0"/>
          <w:numId w:val="3"/>
        </w:numPr>
        <w:spacing w:after="80"/>
      </w:pPr>
      <w:r>
        <w:t xml:space="preserve">Krystal looks up that class — registered at boot time by scanning the entire classpath, forming what's called the VajramKryonGraph.</w:t>
      </w:r>
    </w:p>
    <w:p>
      <w:pPr>
        <w:pStyle w:val="ListParagraph"/>
        <w:numPr>
          <w:ilvl w:val="0"/>
          <w:numId w:val="3"/>
        </w:numPr>
        <w:spacing w:after="80"/>
      </w:pPr>
      <w:r>
        <w:t xml:space="preserve">Krystal executes the chain in order: Aggregator → Compute Vajram → IO Vajram.</w:t>
      </w:r>
    </w:p>
    <w:p>
      <w:pPr>
        <w:pStyle w:val="ListParagraph"/>
        <w:numPr>
          <w:ilvl w:val="0"/>
          <w:numId w:val="3"/>
        </w:numPr>
        <w:spacing w:after="80"/>
      </w:pPr>
      <w:r>
        <w:t xml:space="preserve">The IO Vajram fires the real REST call, e.g. GET http://{meridian-host}/api/v1/instock/kpi?compareVs=DAY_START</w:t>
      </w:r>
    </w:p>
    <w:p>
      <w:pPr>
        <w:pStyle w:val="ListParagraph"/>
        <w:numPr>
          <w:ilvl w:val="0"/>
          <w:numId w:val="3"/>
        </w:numPr>
        <w:spacing w:after="80"/>
      </w:pPr>
      <w:r>
        <w:t xml:space="preserve">Meridian's serving layer queries MySQL and returns JSON.</w:t>
      </w:r>
    </w:p>
    <w:p>
      <w:pPr>
        <w:pStyle w:val="ListParagraph"/>
        <w:numPr>
          <w:ilvl w:val="0"/>
          <w:numId w:val="3"/>
        </w:numPr>
        <w:spacing w:after="80"/>
      </w:pPr>
      <w:r>
        <w:t xml:space="preserve">The response flows back up: Compute maps the JSON into GraphQL shape, the Aggregator returns it (or throws on error).</w:t>
      </w:r>
    </w:p>
    <w:p>
      <w:pPr>
        <w:pStyle w:val="ListParagraph"/>
        <w:numPr>
          <w:ilvl w:val="0"/>
          <w:numId w:val="3"/>
        </w:numPr>
        <w:spacing w:after="80"/>
      </w:pPr>
      <w:r>
        <w:t xml:space="preserve">Harbor packages the result as { data, dataErrors, graphErrors } and returns HTTP 200 to Apollo Client — always 200, regardless of partial failure.</w:t>
      </w:r>
    </w:p>
    <w:p>
      <w:pPr>
        <w:pStyle w:val="ListParagraph"/>
        <w:numPr>
          <w:ilvl w:val="0"/>
          <w:numId w:val="3"/>
        </w:numPr>
        <w:spacing w:after="80"/>
      </w:pPr>
      <w:r>
        <w:t xml:space="preserve">Apollo's transformer processes it, and React renders.</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Detail worth flagging in the room — “what happens if something breaks?”</w:t>
            </w:r>
          </w:p>
          <w:p>
            <w:pPr>
              <w:spacing w:after="40"/>
            </w:pPr>
            <w:r>
              <w:t xml:space="preserve">Harbor always returns HTTP 200, even on partial failure. Real errors surface inside the response body's graphErrors / dataErrors fields, not the HTTP status code. This was verified directly against source (not assumed from a doc) — see Section 9.</w:t>
            </w:r>
          </w:p>
        </w:tc>
      </w:tr>
    </w:tbl>
    <w:p>
      <w:pPr>
        <w:pStyle w:val="Heading1"/>
        <w:pBdr>
          <w:bottom w:val="single" w:color="0F6B72" w:sz="8" w:space="4"/>
        </w:pBdr>
        <w:spacing w:after="200" w:before="400"/>
      </w:pPr>
      <w:r>
        <w:rPr>
          <w:b/>
          <w:bCs/>
          <w:color w:val="1F3864"/>
        </w:rPr>
        <w:t xml:space="preserve">6. What Was Actually Built</w:t>
      </w:r>
    </w:p>
    <w:p>
      <w:pPr>
        <w:spacing w:after="120"/>
      </w:pPr>
      <w:r>
        <w:t xml:space="preserve">All work happened inside fk-mart-api-orchestrator, on branch instock-monitoring-sdl-vajram, now pushed (6 commits, no PR opened yet).</w:t>
      </w:r>
    </w:p>
    <w:p>
      <w:pPr>
        <w:pStyle w:val="Heading3"/>
        <w:spacing w:after="80" w:before="200"/>
      </w:pPr>
      <w:r>
        <w:rPr>
          <w:b/>
          <w:bCs/>
          <w:color w:val="333333"/>
        </w:rPr>
        <w:t xml:space="preserve">Schema (SDL) additions</w:t>
      </w:r>
    </w:p>
    <w:p>
      <w:pPr>
        <w:pStyle w:val="ListParagraph"/>
        <w:numPr>
          <w:ilvl w:val="0"/>
          <w:numId w:val="2"/>
        </w:numPr>
        <w:spacing w:after="80"/>
      </w:pPr>
      <w:r>
        <w:rPr>
          <w:rFonts w:ascii="Consolas" w:cs="Consolas" w:eastAsia="Consolas" w:hAnsi="Consolas"/>
          <w:color w:val="8A2BE2"/>
          <w:sz w:val="20"/>
          <w:szCs w:val="20"/>
        </w:rPr>
        <w:t xml:space="preserve">Replenishment.graphqls</w:t>
      </w:r>
      <w:r>
        <w:t xml:space="preserve"> — new domain file: types, enums, and inputs for Instock Monitoring.</w:t>
      </w:r>
    </w:p>
    <w:p>
      <w:pPr>
        <w:pStyle w:val="ListParagraph"/>
        <w:numPr>
          <w:ilvl w:val="0"/>
          <w:numId w:val="2"/>
        </w:numPr>
        <w:spacing w:after="80"/>
      </w:pPr>
      <w:r>
        <w:rPr>
          <w:rFonts w:ascii="Consolas" w:cs="Consolas" w:eastAsia="Consolas" w:hAnsi="Consolas"/>
          <w:color w:val="8A2BE2"/>
          <w:sz w:val="20"/>
          <w:szCs w:val="20"/>
        </w:rPr>
        <w:t xml:space="preserve">query.graphqls</w:t>
      </w:r>
      <w:r>
        <w:t xml:space="preserve"> — 12 new Query fields + 1 Mutation added to the shared schema: </w:t>
      </w:r>
      <w:r>
        <w:t xml:space="preserve">instockKPIs, worstFsns, lowInstockStores, instockCities, citySubPivots, cityDarkStores, rootCauseDrillDown, exportJob, createExportJob, instockCityOptions, instockDarkStoreOptions, instockSourcingHubOptions, instockFsnTaxonomy.</w:t>
      </w:r>
    </w:p>
    <w:p>
      <w:pPr>
        <w:spacing w:after="120"/>
      </w:pPr>
      <w:r>
        <w:t xml:space="preserve">Both were carried over from earlier work and re-verified against the published Confluence contract — confirmed no drift.</w:t>
      </w:r>
    </w:p>
    <w:p>
      <w:pPr>
        <w:pStyle w:val="Heading3"/>
        <w:spacing w:after="80" w:before="200"/>
      </w:pPr>
      <w:r>
        <w:rPr>
          <w:b/>
          <w:bCs/>
          <w:color w:val="333333"/>
        </w:rPr>
        <w:t xml:space="preserve">4 of 13 operations fully wired end-to-end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5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Operation</w:t>
            </w:r>
          </w:p>
        </w:tc>
        <w:tc>
          <w:tcPr>
            <w:tcW w:type="dxa" w:w="4600"/>
            <w:shd w:fill="1F3864" w:val="clear"/>
            <w:tcMar>
              <w:top w:type="dxa" w:w="80"/>
              <w:left w:type="dxa" w:w="100"/>
              <w:bottom w:type="dxa" w:w="80"/>
              <w:right w:type="dxa" w:w="100"/>
            </w:tcMar>
            <w:vAlign w:val="center"/>
          </w:tcPr>
          <w:p>
            <w:r>
              <w:rPr>
                <w:b/>
                <w:bCs/>
                <w:color w:val="FFFFFF"/>
                <w:sz w:val="20"/>
                <w:szCs w:val="20"/>
              </w:rPr>
              <w:t xml:space="preserve">REST endpoint it calls</w:t>
            </w:r>
          </w:p>
        </w:tc>
        <w:tc>
          <w:tcPr>
            <w:tcW w:type="dxa" w:w="1550"/>
            <w:shd w:fill="1F3864" w:val="clear"/>
            <w:tcMar>
              <w:top w:type="dxa" w:w="80"/>
              <w:left w:type="dxa" w:w="100"/>
              <w:bottom w:type="dxa" w:w="80"/>
              <w:right w:type="dxa" w:w="100"/>
            </w:tcMar>
            <w:vAlign w:val="center"/>
          </w:tcPr>
          <w:p>
            <w:r>
              <w:rPr>
                <w:b/>
                <w:bCs/>
                <w:color w:val="FFFFFF"/>
                <w:sz w:val="20"/>
                <w:szCs w:val="20"/>
              </w:rPr>
              <w:t xml:space="preserve">Status</w:t>
            </w:r>
          </w:p>
        </w:tc>
      </w:tr>
      <w:tr>
        <w:tc>
          <w:tcPr>
            <w:tcW w:type="dxa" w:w="3200"/>
            <w:shd w:fill="FFFFFF" w:val="clear"/>
            <w:tcMar>
              <w:top w:type="dxa" w:w="70"/>
              <w:left w:type="dxa" w:w="100"/>
              <w:bottom w:type="dxa" w:w="70"/>
              <w:right w:type="dxa" w:w="100"/>
            </w:tcMar>
            <w:vAlign w:val="center"/>
          </w:tcPr>
          <w:p>
            <w:r>
              <w:rPr>
                <w:sz w:val="20"/>
                <w:szCs w:val="20"/>
              </w:rPr>
              <w:t xml:space="preserve">instockKPIs</w:t>
            </w:r>
          </w:p>
        </w:tc>
        <w:tc>
          <w:tcPr>
            <w:tcW w:type="dxa" w:w="4600"/>
            <w:shd w:fill="FFFFFF" w:val="clear"/>
            <w:tcMar>
              <w:top w:type="dxa" w:w="70"/>
              <w:left w:type="dxa" w:w="100"/>
              <w:bottom w:type="dxa" w:w="70"/>
              <w:right w:type="dxa" w:w="100"/>
            </w:tcMar>
            <w:vAlign w:val="center"/>
          </w:tcPr>
          <w:p>
            <w:r>
              <w:rPr>
                <w:sz w:val="20"/>
                <w:szCs w:val="20"/>
              </w:rPr>
              <w:t xml:space="preserve">GET /api/v1/instock/kpi</w:t>
            </w:r>
          </w:p>
        </w:tc>
        <w:tc>
          <w:tcPr>
            <w:tcW w:type="dxa" w:w="1550"/>
            <w:shd w:fill="FFFFFF" w:val="clear"/>
            <w:tcMar>
              <w:top w:type="dxa" w:w="70"/>
              <w:left w:type="dxa" w:w="100"/>
              <w:bottom w:type="dxa" w:w="70"/>
              <w:right w:type="dxa" w:w="100"/>
            </w:tcMar>
            <w:vAlign w:val="center"/>
          </w:tcPr>
          <w:p>
            <w:r>
              <w:rPr>
                <w:sz w:val="20"/>
                <w:szCs w:val="20"/>
              </w:rPr>
              <w:t xml:space="preserve">✅ Done</w:t>
            </w:r>
          </w:p>
        </w:tc>
      </w:tr>
      <w:tr>
        <w:tc>
          <w:tcPr>
            <w:tcW w:type="dxa" w:w="3200"/>
            <w:shd w:fill="F2F6F6" w:val="clear"/>
            <w:tcMar>
              <w:top w:type="dxa" w:w="70"/>
              <w:left w:type="dxa" w:w="100"/>
              <w:bottom w:type="dxa" w:w="70"/>
              <w:right w:type="dxa" w:w="100"/>
            </w:tcMar>
            <w:vAlign w:val="center"/>
          </w:tcPr>
          <w:p>
            <w:r>
              <w:rPr>
                <w:sz w:val="20"/>
                <w:szCs w:val="20"/>
              </w:rPr>
              <w:t xml:space="preserve">worstFsns</w:t>
            </w:r>
          </w:p>
        </w:tc>
        <w:tc>
          <w:tcPr>
            <w:tcW w:type="dxa" w:w="4600"/>
            <w:shd w:fill="F2F6F6" w:val="clear"/>
            <w:tcMar>
              <w:top w:type="dxa" w:w="70"/>
              <w:left w:type="dxa" w:w="100"/>
              <w:bottom w:type="dxa" w:w="70"/>
              <w:right w:type="dxa" w:w="100"/>
            </w:tcMar>
            <w:vAlign w:val="center"/>
          </w:tcPr>
          <w:p>
            <w:r>
              <w:rPr>
                <w:sz w:val="20"/>
                <w:szCs w:val="20"/>
              </w:rPr>
              <w:t xml:space="preserve">GET /api/v1/instock/kpi/worst-fsns</w:t>
            </w:r>
          </w:p>
        </w:tc>
        <w:tc>
          <w:tcPr>
            <w:tcW w:type="dxa" w:w="1550"/>
            <w:shd w:fill="F2F6F6" w:val="clear"/>
            <w:tcMar>
              <w:top w:type="dxa" w:w="70"/>
              <w:left w:type="dxa" w:w="100"/>
              <w:bottom w:type="dxa" w:w="70"/>
              <w:right w:type="dxa" w:w="100"/>
            </w:tcMar>
            <w:vAlign w:val="center"/>
          </w:tcPr>
          <w:p>
            <w:r>
              <w:rPr>
                <w:sz w:val="20"/>
                <w:szCs w:val="20"/>
              </w:rPr>
              <w:t xml:space="preserve">✅ Done</w:t>
            </w:r>
          </w:p>
        </w:tc>
      </w:tr>
      <w:tr>
        <w:tc>
          <w:tcPr>
            <w:tcW w:type="dxa" w:w="3200"/>
            <w:shd w:fill="FFFFFF" w:val="clear"/>
            <w:tcMar>
              <w:top w:type="dxa" w:w="70"/>
              <w:left w:type="dxa" w:w="100"/>
              <w:bottom w:type="dxa" w:w="70"/>
              <w:right w:type="dxa" w:w="100"/>
            </w:tcMar>
            <w:vAlign w:val="center"/>
          </w:tcPr>
          <w:p>
            <w:r>
              <w:rPr>
                <w:sz w:val="20"/>
                <w:szCs w:val="20"/>
              </w:rPr>
              <w:t xml:space="preserve">exportJob</w:t>
            </w:r>
          </w:p>
        </w:tc>
        <w:tc>
          <w:tcPr>
            <w:tcW w:type="dxa" w:w="4600"/>
            <w:shd w:fill="FFFFFF" w:val="clear"/>
            <w:tcMar>
              <w:top w:type="dxa" w:w="70"/>
              <w:left w:type="dxa" w:w="100"/>
              <w:bottom w:type="dxa" w:w="70"/>
              <w:right w:type="dxa" w:w="100"/>
            </w:tcMar>
            <w:vAlign w:val="center"/>
          </w:tcPr>
          <w:p>
            <w:r>
              <w:rPr>
                <w:sz w:val="20"/>
                <w:szCs w:val="20"/>
              </w:rPr>
              <w:t xml:space="preserve">GET /api/v1/exports/{jobId}</w:t>
            </w:r>
          </w:p>
        </w:tc>
        <w:tc>
          <w:tcPr>
            <w:tcW w:type="dxa" w:w="1550"/>
            <w:shd w:fill="FFFFFF" w:val="clear"/>
            <w:tcMar>
              <w:top w:type="dxa" w:w="70"/>
              <w:left w:type="dxa" w:w="100"/>
              <w:bottom w:type="dxa" w:w="70"/>
              <w:right w:type="dxa" w:w="100"/>
            </w:tcMar>
            <w:vAlign w:val="center"/>
          </w:tcPr>
          <w:p>
            <w:r>
              <w:rPr>
                <w:sz w:val="20"/>
                <w:szCs w:val="20"/>
              </w:rPr>
              <w:t xml:space="preserve">✅ Done</w:t>
            </w:r>
          </w:p>
        </w:tc>
      </w:tr>
      <w:tr>
        <w:tc>
          <w:tcPr>
            <w:tcW w:type="dxa" w:w="3200"/>
            <w:shd w:fill="F2F6F6" w:val="clear"/>
            <w:tcMar>
              <w:top w:type="dxa" w:w="70"/>
              <w:left w:type="dxa" w:w="100"/>
              <w:bottom w:type="dxa" w:w="70"/>
              <w:right w:type="dxa" w:w="100"/>
            </w:tcMar>
            <w:vAlign w:val="center"/>
          </w:tcPr>
          <w:p>
            <w:r>
              <w:rPr>
                <w:sz w:val="20"/>
                <w:szCs w:val="20"/>
              </w:rPr>
              <w:t xml:space="preserve">instockCities</w:t>
            </w:r>
          </w:p>
        </w:tc>
        <w:tc>
          <w:tcPr>
            <w:tcW w:type="dxa" w:w="4600"/>
            <w:shd w:fill="F2F6F6" w:val="clear"/>
            <w:tcMar>
              <w:top w:type="dxa" w:w="70"/>
              <w:left w:type="dxa" w:w="100"/>
              <w:bottom w:type="dxa" w:w="70"/>
              <w:right w:type="dxa" w:w="100"/>
            </w:tcMar>
            <w:vAlign w:val="center"/>
          </w:tcPr>
          <w:p>
            <w:r>
              <w:rPr>
                <w:sz w:val="20"/>
                <w:szCs w:val="20"/>
              </w:rPr>
              <w:t xml:space="preserve">GET /api/v1/instock/cities (incl. nested subRows)</w:t>
            </w:r>
          </w:p>
        </w:tc>
        <w:tc>
          <w:tcPr>
            <w:tcW w:type="dxa" w:w="1550"/>
            <w:shd w:fill="F2F6F6" w:val="clear"/>
            <w:tcMar>
              <w:top w:type="dxa" w:w="70"/>
              <w:left w:type="dxa" w:w="100"/>
              <w:bottom w:type="dxa" w:w="70"/>
              <w:right w:type="dxa" w:w="100"/>
            </w:tcMar>
            <w:vAlign w:val="center"/>
          </w:tcPr>
          <w:p>
            <w:r>
              <w:rPr>
                <w:sz w:val="20"/>
                <w:szCs w:val="20"/>
              </w:rPr>
              <w:t xml:space="preserve">✅ Done</w:t>
            </w:r>
          </w:p>
        </w:tc>
      </w:tr>
    </w:tbl>
    <w:p>
      <w:pPr>
        <w:spacing w:after="120"/>
      </w:pPr>
      <w:r>
        <w:t xml:space="preserve"/>
      </w:r>
    </w:p>
    <w:p>
      <w:pPr>
        <w:spacing w:after="120"/>
      </w:pPr>
      <w:r>
        <w:t xml:space="preserve">Each of these four includes, in full:</w:t>
      </w:r>
    </w:p>
    <w:p>
      <w:pPr>
        <w:pStyle w:val="ListParagraph"/>
        <w:numPr>
          <w:ilvl w:val="0"/>
          <w:numId w:val="2"/>
        </w:numPr>
        <w:spacing w:after="80"/>
      </w:pPr>
      <w:r>
        <w:t xml:space="preserve">A service-client method in MeridianServiceNonBlockingClient</w:t>
      </w:r>
    </w:p>
    <w:p>
      <w:pPr>
        <w:pStyle w:val="ListParagraph"/>
        <w:numPr>
          <w:ilvl w:val="0"/>
          <w:numId w:val="2"/>
        </w:numPr>
        <w:spacing w:after="80"/>
      </w:pPr>
      <w:r>
        <w:t xml:space="preserve">Response DTOs</w:t>
      </w:r>
    </w:p>
    <w:p>
      <w:pPr>
        <w:pStyle w:val="ListParagraph"/>
        <w:numPr>
          <w:ilvl w:val="0"/>
          <w:numId w:val="2"/>
        </w:numPr>
        <w:spacing w:after="80"/>
      </w:pPr>
      <w:r>
        <w:t xml:space="preserve">Entries in both YAML service-spec files (definition + execution)</w:t>
      </w:r>
    </w:p>
    <w:p>
      <w:pPr>
        <w:pStyle w:val="ListParagraph"/>
        <w:numPr>
          <w:ilvl w:val="0"/>
          <w:numId w:val="2"/>
        </w:numPr>
        <w:spacing w:after="80"/>
      </w:pPr>
      <w:r>
        <w:t xml:space="preserve">GraphQL entity classes</w:t>
      </w:r>
    </w:p>
    <w:p>
      <w:pPr>
        <w:pStyle w:val="ListParagraph"/>
        <w:numPr>
          <w:ilvl w:val="0"/>
          <w:numId w:val="2"/>
        </w:numPr>
        <w:spacing w:after="80"/>
      </w:pPr>
      <w:r>
        <w:t xml:space="preserve">The full 3-layer Vajram chain itself (IO → Compute → Aggregator)</w:t>
      </w:r>
    </w:p>
    <w:p>
      <w:pPr>
        <w:pStyle w:val="Heading3"/>
        <w:spacing w:after="80" w:before="200"/>
      </w:pPr>
      <w:r>
        <w:rPr>
          <w:b/>
          <w:bCs/>
          <w:color w:val="333333"/>
        </w:rPr>
        <w:t xml:space="preserve">Detailed build order (for teaching how each piece gets built)</w:t>
      </w:r>
    </w:p>
    <w:p>
      <w:pPr>
        <w:spacing w:after="120"/>
      </w:pPr>
      <w:r>
        <w:t xml:space="preserve">Built by following the existing Darwin service client as a working template:</w:t>
      </w:r>
    </w:p>
    <w:p>
      <w:pPr>
        <w:pStyle w:val="ListParagraph"/>
        <w:numPr>
          <w:ilvl w:val="0"/>
          <w:numId w:val="4"/>
        </w:numPr>
        <w:spacing w:after="80"/>
      </w:pPr>
      <w:r>
        <w:t xml:space="preserve">MeridianServiceNonBlockingClient.java — the REST client itself.</w:t>
      </w:r>
    </w:p>
    <w:p>
      <w:pPr>
        <w:pStyle w:val="ListParagraph"/>
        <w:numPr>
          <w:ilvl w:val="0"/>
          <w:numId w:val="4"/>
        </w:numPr>
        <w:spacing w:after="80"/>
      </w:pPr>
      <w:r>
        <w:t xml:space="preserve">3 DTOs — InstockKpiResponse, InstockMetricDelta, InstockThresholdMetricDelta.</w:t>
      </w:r>
    </w:p>
    <w:p>
      <w:pPr>
        <w:pStyle w:val="ListParagraph"/>
        <w:numPr>
          <w:ilvl w:val="0"/>
          <w:numId w:val="4"/>
        </w:numPr>
        <w:spacing w:after="80"/>
      </w:pPr>
      <w:r>
        <w:t xml:space="preserve">2 YAML service specs — definition and execution.</w:t>
      </w:r>
    </w:p>
    <w:p>
      <w:pPr>
        <w:pStyle w:val="ListParagraph"/>
        <w:numPr>
          <w:ilvl w:val="0"/>
          <w:numId w:val="4"/>
        </w:numPr>
        <w:spacing w:after="80"/>
      </w:pPr>
      <w:r>
        <w:t xml:space="preserve">3 GraphQL entity classes — InstockKPIs, MetricWithDelta, ThresholdMetric.</w:t>
      </w:r>
    </w:p>
    <w:p>
      <w:pPr>
        <w:pStyle w:val="ListParagraph"/>
        <w:numPr>
          <w:ilvl w:val="0"/>
          <w:numId w:val="4"/>
        </w:numPr>
        <w:spacing w:after="80"/>
      </w:pPr>
      <w:r>
        <w:t xml:space="preserve">An InstockFilters input POJO.</w:t>
      </w:r>
    </w:p>
    <w:p>
      <w:pPr>
        <w:pStyle w:val="ListParagraph"/>
        <w:numPr>
          <w:ilvl w:val="0"/>
          <w:numId w:val="4"/>
        </w:numPr>
        <w:spacing w:after="80"/>
      </w:pPr>
      <w:r>
        <w:t xml:space="preserve">The 3-layer chain itself: GetInstockKpisFromService (IO) → GetInstockKpis (Compute) → InstockKPIsGraphQLAggregator (Aggregator).</w:t>
      </w:r>
    </w:p>
    <w:p>
      <w:pPr>
        <w:spacing w:after="120"/>
      </w:pPr>
      <w:r>
        <w:t xml:space="preserve">The most complex of the four built operations was instockCities, which required mapping nested subRows / SubPivotRow structures — built while access was still pending, alongside worstFsns and exportJob.</w:t>
      </w:r>
    </w:p>
    <w:p>
      <w:pPr>
        <w:pStyle w:val="Heading1"/>
        <w:pBdr>
          <w:bottom w:val="single" w:color="0F6B72" w:sz="8" w:space="4"/>
        </w:pBdr>
        <w:spacing w:after="200" w:before="400"/>
      </w:pPr>
      <w:r>
        <w:rPr>
          <w:b/>
          <w:bCs/>
          <w:color w:val="1F3864"/>
        </w:rPr>
        <w:t xml:space="preserve">7. What Is Still Not Built, and Why</w:t>
      </w:r>
    </w:p>
    <w:p>
      <w:pPr>
        <w:pStyle w:val="Heading3"/>
        <w:spacing w:after="80" w:before="200"/>
      </w:pPr>
      <w:r>
        <w:rPr>
          <w:b/>
          <w:bCs/>
          <w:color w:val="333333"/>
        </w:rPr>
        <w:t xml:space="preserve">6 mechanical operations — no open questions, just need to be written</w:t>
      </w:r>
    </w:p>
    <w:p>
      <w:pPr>
        <w:pStyle w:val="ListParagraph"/>
        <w:numPr>
          <w:ilvl w:val="0"/>
          <w:numId w:val="2"/>
        </w:numPr>
        <w:spacing w:after="80"/>
      </w:pPr>
      <w:r>
        <w:t xml:space="preserve">citySubPivots</w:t>
      </w:r>
    </w:p>
    <w:p>
      <w:pPr>
        <w:pStyle w:val="ListParagraph"/>
        <w:numPr>
          <w:ilvl w:val="0"/>
          <w:numId w:val="2"/>
        </w:numPr>
        <w:spacing w:after="80"/>
      </w:pPr>
      <w:r>
        <w:t xml:space="preserve">cityDarkStores</w:t>
      </w:r>
    </w:p>
    <w:p>
      <w:pPr>
        <w:pStyle w:val="ListParagraph"/>
        <w:numPr>
          <w:ilvl w:val="0"/>
          <w:numId w:val="2"/>
        </w:numPr>
        <w:spacing w:after="80"/>
      </w:pPr>
      <w:r>
        <w:t xml:space="preserve">instockCityOptions</w:t>
      </w:r>
    </w:p>
    <w:p>
      <w:pPr>
        <w:pStyle w:val="ListParagraph"/>
        <w:numPr>
          <w:ilvl w:val="0"/>
          <w:numId w:val="2"/>
        </w:numPr>
        <w:spacing w:after="80"/>
      </w:pPr>
      <w:r>
        <w:t xml:space="preserve">instockDarkStoreOptions</w:t>
      </w:r>
    </w:p>
    <w:p>
      <w:pPr>
        <w:pStyle w:val="ListParagraph"/>
        <w:numPr>
          <w:ilvl w:val="0"/>
          <w:numId w:val="2"/>
        </w:numPr>
        <w:spacing w:after="80"/>
      </w:pPr>
      <w:r>
        <w:t xml:space="preserve">instockSourcingHubOptions</w:t>
      </w:r>
    </w:p>
    <w:p>
      <w:pPr>
        <w:pStyle w:val="ListParagraph"/>
        <w:numPr>
          <w:ilvl w:val="0"/>
          <w:numId w:val="2"/>
        </w:numPr>
        <w:spacing w:after="80"/>
      </w:pPr>
      <w:r>
        <w:t xml:space="preserve">instockFsnTaxonomy</w:t>
      </w:r>
    </w:p>
    <w:p>
      <w:pPr>
        <w:pStyle w:val="Heading3"/>
        <w:spacing w:after="80" w:before="200"/>
      </w:pPr>
      <w:r>
        <w:rPr>
          <w:b/>
          <w:bCs/>
          <w:color w:val="333333"/>
        </w:rPr>
        <w:t xml:space="preserve">3 genuinely complex operations — each flagged with its specific open question</w:t>
      </w:r>
    </w:p>
    <w:p>
      <w:pPr>
        <w:pStyle w:val="ListParagraph"/>
        <w:numPr>
          <w:ilvl w:val="0"/>
          <w:numId w:val="2"/>
        </w:numPr>
        <w:spacing w:after="80"/>
      </w:pPr>
      <w:r>
        <w:rPr>
          <w:b/>
          <w:bCs/>
        </w:rPr>
        <w:t xml:space="preserve">lowInstockStores</w:t>
      </w:r>
      <w:r>
        <w:t xml:space="preserve"> — GraphQL needs cityCode and cityName as two separate fields, but the REST endpoint only returns a single combined city display-name string. This needs a decision: either add a field to the REST response, or drop the split from the GraphQL schema.</w:t>
      </w:r>
    </w:p>
    <w:p>
      <w:pPr>
        <w:pStyle w:val="ListParagraph"/>
        <w:numPr>
          <w:ilvl w:val="0"/>
          <w:numId w:val="2"/>
        </w:numPr>
        <w:spacing w:after="80"/>
      </w:pPr>
      <w:r>
        <w:rPr>
          <w:b/>
          <w:bCs/>
        </w:rPr>
        <w:t xml:space="preserve">rootCauseDrillDown</w:t>
      </w:r>
      <w:r>
        <w:t xml:space="preserve"> — a GraphQL union type that needs to dispatch to 4 different REST endpoints depending on the value of a “bucket” argument. Needs the exact bucket-to-endpoint mapping confirmed before it can be built.</w:t>
      </w:r>
    </w:p>
    <w:p>
      <w:pPr>
        <w:pStyle w:val="ListParagraph"/>
        <w:numPr>
          <w:ilvl w:val="0"/>
          <w:numId w:val="2"/>
        </w:numPr>
        <w:spacing w:after="80"/>
      </w:pPr>
      <w:r>
        <w:rPr>
          <w:b/>
          <w:bCs/>
        </w:rPr>
        <w:t xml:space="preserve">createExportJob</w:t>
      </w:r>
      <w:r>
        <w:t xml:space="preserve"> — needs to dispatch to two different REST endpoints depending on the export type: one for the OOS (out-of-stock) report, another for the 4 RCA (root-cause-analysis) export types. Needs the dispatch logic confirmed.</w:t>
      </w:r>
    </w:p>
    <w:p>
      <w:pPr>
        <w:pStyle w:val="Heading1"/>
        <w:pBdr>
          <w:bottom w:val="single" w:color="0F6B72" w:sz="8" w:space="4"/>
        </w:pBdr>
        <w:spacing w:after="200" w:before="400"/>
      </w:pPr>
      <w:r>
        <w:rPr>
          <w:b/>
          <w:bCs/>
          <w:color w:val="1F3864"/>
        </w:rPr>
        <w:t xml:space="preserve">8. Real Bugs Found and Fixed</w:t>
      </w:r>
    </w:p>
    <w:p>
      <w:pPr>
        <w:pStyle w:val="Heading3"/>
        <w:spacing w:after="80" w:before="200"/>
      </w:pPr>
      <w:r>
        <w:rPr>
          <w:b/>
          <w:bCs/>
          <w:color w:val="333333"/>
        </w:rPr>
        <w:t xml:space="preserve">Bug 1 — VajramId collision</w:t>
      </w:r>
    </w:p>
    <w:p>
      <w:pPr>
        <w:spacing w:after="120"/>
      </w:pPr>
      <w:r>
        <w:t xml:space="preserve">instockCityOptions, instockDarkStoreOptions, instockSourcingHubOptions, and instockFsnTaxonomy all pointed at the </w:t>
      </w:r>
      <w:r>
        <w:rPr>
          <w:b/>
          <w:bCs/>
        </w:rPr>
        <w:t xml:space="preserve">same</w:t>
      </w:r>
      <w:r>
        <w:t xml:space="preserve"> vajramId, despite each needing to return a different type. One Aggregator class cannot serve four different return types. </w:t>
      </w:r>
      <w:r>
        <w:rPr>
          <w:b/>
          <w:bCs/>
        </w:rPr>
        <w:t xml:space="preserve">Fix: </w:t>
      </w:r>
      <w:r>
        <w:t xml:space="preserve">split into 4 distinct vajramIds. This was an internal-only fix — invisible to the UI/frontend contract.</w:t>
      </w:r>
    </w:p>
    <w:p>
      <w:pPr>
        <w:pStyle w:val="Heading3"/>
        <w:spacing w:after="80" w:before="200"/>
      </w:pPr>
      <w:r>
        <w:rPr>
          <w:b/>
          <w:bCs/>
          <w:color w:val="333333"/>
        </w:rPr>
        <w:t xml:space="preserve">Bug 2 (false alarm, but worth knowing the reasoning) — bare-args framework binding concern</w:t>
      </w:r>
    </w:p>
    <w:p>
      <w:pPr>
        <w:spacing w:after="120"/>
      </w:pPr>
      <w:r>
        <w:t xml:space="preserve">A worry was raised that bare-style GraphQL arguments (e.g. </w:t>
      </w:r>
      <w:r>
        <w:rPr>
          <w:rFonts w:ascii="Consolas" w:cs="Consolas" w:eastAsia="Consolas" w:hAnsi="Consolas"/>
          <w:color w:val="8A2BE2"/>
          <w:sz w:val="20"/>
          <w:szCs w:val="20"/>
        </w:rPr>
        <w:t xml:space="preserve">compareVs</w:t>
      </w:r>
      <w:r>
        <w:t xml:space="preserve">, </w:t>
      </w:r>
      <w:r>
        <w:rPr>
          <w:rFonts w:ascii="Consolas" w:cs="Consolas" w:eastAsia="Consolas" w:hAnsi="Consolas"/>
          <w:color w:val="8A2BE2"/>
          <w:sz w:val="20"/>
          <w:szCs w:val="20"/>
        </w:rPr>
        <w:t xml:space="preserve">filters</w:t>
      </w:r>
      <w:r>
        <w:t xml:space="preserve"> passed directly, not wrapped in a single input object) might not bind correctly to Vajram facets — based on finding one utility method that only special-cased an argument literally named </w:t>
      </w:r>
      <w:r>
        <w:rPr>
          <w:rFonts w:ascii="Consolas" w:cs="Consolas" w:eastAsia="Consolas" w:hAnsi="Consolas"/>
          <w:color w:val="8A2BE2"/>
          <w:sz w:val="20"/>
          <w:szCs w:val="20"/>
        </w:rPr>
        <w:t xml:space="preserve">"input"</w:t>
      </w:r>
      <w:r>
        <w:t xml:space="preserve">. This was resolved by finding other real, working examples in the same codebase (e.g. </w:t>
      </w:r>
      <w:r>
        <w:rPr>
          <w:rFonts w:ascii="Consolas" w:cs="Consolas" w:eastAsia="Consolas" w:hAnsi="Consolas"/>
          <w:color w:val="8A2BE2"/>
          <w:sz w:val="20"/>
          <w:szCs w:val="20"/>
        </w:rPr>
        <w:t xml:space="preserve">listing(listingId: ID)</w:t>
      </w:r>
      <w:r>
        <w:t xml:space="preserve">) proving bare-name binding works fine through the framework generically. No fix was needed — but it was checked and confirmed rather than just assumed either way.</w:t>
      </w:r>
    </w:p>
    <w:p>
      <w:pPr>
        <w:pStyle w:val="Heading1"/>
        <w:pBdr>
          <w:bottom w:val="single" w:color="0F6B72" w:sz="8" w:space="4"/>
        </w:pBdr>
        <w:spacing w:after="200" w:before="400"/>
      </w:pPr>
      <w:r>
        <w:rPr>
          <w:b/>
          <w:bCs/>
          <w:color w:val="1F3864"/>
        </w:rPr>
        <w:t xml:space="preserve">9. Key Technical Mechanisms Verified Against Real Source Code</w:t>
      </w:r>
    </w:p>
    <w:p>
      <w:pPr>
        <w:spacing w:after="120"/>
      </w:pPr>
      <w:r>
        <w:t xml:space="preserve">A recurring theme this session: claims from docs/summaries were checked against the actual repo rather than trusted at face value. Four mechanisms were verified this way:</w:t>
      </w:r>
    </w:p>
    <w:p>
      <w:pPr>
        <w:pStyle w:val="Heading3"/>
        <w:spacing w:after="80" w:before="200"/>
      </w:pPr>
      <w:r>
        <w:rPr>
          <w:b/>
          <w:bCs/>
          <w:color w:val="333333"/>
        </w:rPr>
        <w:t xml:space="preserve">A. Error surfacing</w:t>
      </w:r>
    </w:p>
    <w:p>
      <w:pPr>
        <w:spacing w:after="120"/>
      </w:pPr>
      <w:r>
        <w:t xml:space="preserve">Confirmed via </w:t>
      </w:r>
      <w:r>
        <w:rPr>
          <w:rFonts w:ascii="Consolas" w:cs="Consolas" w:eastAsia="Consolas" w:hAnsi="Consolas"/>
          <w:color w:val="8A2BE2"/>
          <w:sz w:val="20"/>
          <w:szCs w:val="20"/>
        </w:rPr>
        <w:t xml:space="preserve">OrchestratorServiceImpl.getGraphQLResponse()</w:t>
      </w:r>
      <w:r>
        <w:t xml:space="preserve">: a thrown exception inside an Aggregator's Output method is caught by graphql-java's own default exception handling (this repo has no custom handler), wrapped as a GraphQLError, and surfaces in the response's </w:t>
      </w:r>
      <w:r>
        <w:rPr>
          <w:rFonts w:ascii="Consolas" w:cs="Consolas" w:eastAsia="Consolas" w:hAnsi="Consolas"/>
          <w:color w:val="8A2BE2"/>
          <w:sz w:val="20"/>
          <w:szCs w:val="20"/>
        </w:rPr>
        <w:t xml:space="preserve">graphErrors</w:t>
      </w:r>
      <w:r>
        <w:t xml:space="preserve"> array — while the HTTP status still returns 200. This validated that the throw-based error handling pattern used in the built Aggregators is correct. Separately, </w:t>
      </w:r>
      <w:r>
        <w:rPr>
          <w:rFonts w:ascii="Consolas" w:cs="Consolas" w:eastAsia="Consolas" w:hAnsi="Consolas"/>
          <w:color w:val="8A2BE2"/>
          <w:sz w:val="20"/>
          <w:szCs w:val="20"/>
        </w:rPr>
        <w:t xml:space="preserve">dataErrors</w:t>
      </w:r>
      <w:r>
        <w:t xml:space="preserve"> is a distinct mechanism for partial failures within a single composite object.</w:t>
      </w:r>
    </w:p>
    <w:p>
      <w:pPr>
        <w:pStyle w:val="Heading3"/>
        <w:spacing w:after="80" w:before="200"/>
      </w:pPr>
      <w:r>
        <w:rPr>
          <w:b/>
          <w:bCs/>
          <w:color w:val="333333"/>
        </w:rPr>
        <w:t xml:space="preserve">B. Service-to-service auth</w:t>
      </w:r>
    </w:p>
    <w:p>
      <w:pPr>
        <w:spacing w:after="120"/>
      </w:pPr>
      <w:r>
        <w:t xml:space="preserve">Traced </w:t>
      </w:r>
      <w:r>
        <w:rPr>
          <w:rFonts w:ascii="Consolas" w:cs="Consolas" w:eastAsia="Consolas" w:hAnsi="Consolas"/>
          <w:color w:val="8A2BE2"/>
          <w:sz w:val="20"/>
          <w:szCs w:val="20"/>
        </w:rPr>
        <w:t xml:space="preserve">MartRequestContext</w:t>
      </w:r>
      <w:r>
        <w:t xml:space="preserve"> construction inside </w:t>
      </w:r>
      <w:r>
        <w:rPr>
          <w:rFonts w:ascii="Consolas" w:cs="Consolas" w:eastAsia="Consolas" w:hAnsi="Consolas"/>
          <w:color w:val="8A2BE2"/>
          <w:sz w:val="20"/>
          <w:szCs w:val="20"/>
        </w:rPr>
        <w:t xml:space="preserve">OrchestratorModule.java</w:t>
      </w:r>
      <w:r>
        <w:t xml:space="preserve"> and found it </w:t>
      </w:r>
      <w:r>
        <w:rPr>
          <w:b/>
          <w:bCs/>
        </w:rPr>
        <w:t xml:space="preserve">never</w:t>
      </w:r>
      <w:r>
        <w:t xml:space="preserve"> captures an Authorization header — confirming the placeholder auth code written so far was always going to fail. The real, live pattern found instead: the </w:t>
      </w:r>
      <w:r>
        <w:rPr>
          <w:rFonts w:ascii="Consolas" w:cs="Consolas" w:eastAsia="Consolas" w:hAnsi="Consolas"/>
          <w:color w:val="8A2BE2"/>
          <w:sz w:val="20"/>
          <w:szCs w:val="20"/>
        </w:rPr>
        <w:t xml:space="preserve">AuthTokenService</w:t>
      </w:r>
      <w:r>
        <w:t xml:space="preserve"> / </w:t>
      </w:r>
      <w:r>
        <w:rPr>
          <w:rFonts w:ascii="Consolas" w:cs="Consolas" w:eastAsia="Consolas" w:hAnsi="Consolas"/>
          <w:color w:val="8A2BE2"/>
          <w:sz w:val="20"/>
          <w:szCs w:val="20"/>
        </w:rPr>
        <w:t xml:space="preserve">GetAuthnToken</w:t>
      </w:r>
      <w:r>
        <w:t xml:space="preserve"> Vajram, which uses Flipkart's internal Authn service via a </w:t>
      </w:r>
      <w:r>
        <w:rPr>
          <w:rFonts w:ascii="Consolas" w:cs="Consolas" w:eastAsia="Consolas" w:hAnsi="Consolas"/>
          <w:color w:val="8A2BE2"/>
          <w:sz w:val="20"/>
          <w:szCs w:val="20"/>
        </w:rPr>
        <w:t xml:space="preserve">targetClientId</w:t>
      </w:r>
      <w:r>
        <w:t xml:space="preserve">. The same singleton is wired in </w:t>
      </w:r>
      <w:r>
        <w:rPr>
          <w:rFonts w:ascii="Consolas" w:cs="Consolas" w:eastAsia="Consolas" w:hAnsi="Consolas"/>
          <w:color w:val="8A2BE2"/>
          <w:sz w:val="20"/>
          <w:szCs w:val="20"/>
        </w:rPr>
        <w:t xml:space="preserve">OrchestratorModule.authTokenService()</w:t>
      </w:r>
      <w:r>
        <w:t xml:space="preserve">, with real credentials living in </w:t>
      </w:r>
      <w:r>
        <w:rPr>
          <w:rFonts w:ascii="Consolas" w:cs="Consolas" w:eastAsia="Consolas" w:hAnsi="Consolas"/>
          <w:color w:val="8A2BE2"/>
          <w:sz w:val="20"/>
          <w:szCs w:val="20"/>
        </w:rPr>
        <w:t xml:space="preserve">kubernetes/helm-directory/config/prod/config.yaml</w:t>
      </w:r>
      <w:r>
        <w:t xml:space="preserve">. </w:t>
      </w:r>
      <w:r>
        <w:rPr>
          <w:b/>
          <w:bCs/>
        </w:rPr>
        <w:t xml:space="preserve">Still missing: </w:t>
      </w:r>
      <w:r>
        <w:t xml:space="preserve">the specific targetClientId string that identifies Meridian's serving layer to Authn.</w:t>
      </w:r>
    </w:p>
    <w:p>
      <w:pPr>
        <w:pStyle w:val="Heading3"/>
        <w:spacing w:after="80" w:before="200"/>
      </w:pPr>
      <w:r>
        <w:rPr>
          <w:b/>
          <w:bCs/>
          <w:color w:val="333333"/>
        </w:rPr>
        <w:t xml:space="preserve">C. Runtime config resolution</w:t>
      </w:r>
    </w:p>
    <w:p>
      <w:pPr>
        <w:spacing w:after="120"/>
      </w:pPr>
      <w:r>
        <w:t xml:space="preserve">Placeholders of the form </w:t>
      </w:r>
      <w:r>
        <w:rPr>
          <w:rFonts w:ascii="Consolas" w:cs="Consolas" w:eastAsia="Consolas" w:hAnsi="Consolas"/>
          <w:color w:val="8A2BE2"/>
          <w:sz w:val="20"/>
          <w:szCs w:val="20"/>
        </w:rPr>
        <w:t xml:space="preserve">${meridianService.httpInitOptions.host}</w:t>
      </w:r>
      <w:r>
        <w:t xml:space="preserve"> resolve at runtime from a </w:t>
      </w:r>
      <w:r>
        <w:rPr>
          <w:b/>
          <w:bCs/>
        </w:rPr>
        <w:t xml:space="preserve">remote config bucket</w:t>
      </w:r>
      <w:r>
        <w:t xml:space="preserve"> (fk-mart-api-orchestrator-config) — </w:t>
      </w:r>
      <w:r>
        <w:rPr>
          <w:b/>
          <w:bCs/>
        </w:rPr>
        <w:t xml:space="preserve">not</w:t>
      </w:r>
      <w:r>
        <w:t xml:space="preserve"> from anything committed in git. Confirmed via </w:t>
      </w:r>
      <w:r>
        <w:rPr>
          <w:rFonts w:ascii="Consolas" w:cs="Consolas" w:eastAsia="Consolas" w:hAnsi="Consolas"/>
          <w:color w:val="8A2BE2"/>
          <w:sz w:val="20"/>
          <w:szCs w:val="20"/>
        </w:rPr>
        <w:t xml:space="preserve">CustomConfigBucketFetcher.java</w:t>
      </w:r>
      <w:r>
        <w:t xml:space="preserve">. </w:t>
      </w:r>
      <w:r>
        <w:rPr>
          <w:b/>
          <w:bCs/>
        </w:rPr>
        <w:t xml:space="preserve">Still missing: </w:t>
      </w:r>
      <w:r>
        <w:t xml:space="preserve">real host/port values need to be added to that bucket by whoever manages it.</w:t>
      </w:r>
    </w:p>
    <w:p>
      <w:pPr>
        <w:pStyle w:val="Heading3"/>
        <w:spacing w:after="80" w:before="200"/>
      </w:pPr>
      <w:r>
        <w:rPr>
          <w:b/>
          <w:bCs/>
          <w:color w:val="333333"/>
        </w:rPr>
        <w:t xml:space="preserve">D. Local-run setup and a security risk caught in it</w:t>
      </w:r>
    </w:p>
    <w:p>
      <w:pPr>
        <w:spacing w:after="120"/>
      </w:pPr>
      <w:r>
        <w:t xml:space="preserve">A teammate's local-run guide for IntelliJ was a 6-step process (cfg-api bootstrap file, prod config CLI arg, javac --add-exports VM options for Krystal's codegen, Java 17). A real risk was caught in step 6: it instructs hardcoding a clientSecret directly in OrchestratorModule.java. This is a local-dev-only workaround — in production, a null value there correctly means “use the secure Kubernetes machine-identity token instead.”</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Flagged as must-not-commit</w:t>
            </w:r>
          </w:p>
          <w:p>
            <w:pPr>
              <w:spacing w:after="40"/>
            </w:pPr>
            <w:r>
              <w:t xml:space="preserve">If the hardcoded clientSecret from the local-run guide were ever committed, it would replace secure K8s machine-identity auth with a hardcoded secret sitting in the real production code path — a genuine security regression. Fine to use locally; must never be pushed.</w:t>
            </w:r>
          </w:p>
        </w:tc>
      </w:tr>
    </w:tbl>
    <w:p>
      <w:pPr>
        <w:spacing w:after="120"/>
      </w:pPr>
      <w:r>
        <w:t xml:space="preserve">Also confirmed: the local Harbor server runs at localhost:5123 once booted (per the repo's own live-query-regression-testing skill doc).</w:t>
      </w:r>
    </w:p>
    <w:p>
      <w:pPr>
        <w:pStyle w:val="Heading1"/>
        <w:pBdr>
          <w:bottom w:val="single" w:color="0F6B72" w:sz="8" w:space="4"/>
        </w:pBdr>
        <w:spacing w:after="200" w:before="400"/>
      </w:pPr>
      <w:r>
        <w:rPr>
          <w:b/>
          <w:bCs/>
          <w:color w:val="1F3864"/>
        </w:rPr>
        <w:t xml:space="preserve">10. Contract / Schema Corrections from UX Review</w:t>
      </w:r>
    </w:p>
    <w:p>
      <w:pPr>
        <w:pStyle w:val="ListParagraph"/>
        <w:numPr>
          <w:ilvl w:val="0"/>
          <w:numId w:val="2"/>
        </w:numPr>
        <w:spacing w:after="80"/>
      </w:pPr>
      <w:r>
        <w:rPr>
          <w:b/>
          <w:bCs/>
        </w:rPr>
        <w:t xml:space="preserve">Confirmed correct, no change needed: </w:t>
      </w:r>
      <w:r>
        <w:t xml:space="preserve">removal of the Product Drilldown endpoint — matches the current UX.</w:t>
      </w:r>
    </w:p>
    <w:p>
      <w:pPr>
        <w:pStyle w:val="ListParagraph"/>
        <w:numPr>
          <w:ilvl w:val="0"/>
          <w:numId w:val="2"/>
        </w:numPr>
        <w:spacing w:after="80"/>
      </w:pPr>
      <w:r>
        <w:rPr>
          <w:b/>
          <w:bCs/>
        </w:rPr>
        <w:t xml:space="preserve">Changed: </w:t>
      </w:r>
      <w:r>
        <w:rPr>
          <w:rFonts w:ascii="Consolas" w:cs="Consolas" w:eastAsia="Consolas" w:hAnsi="Consolas"/>
          <w:color w:val="8A2BE2"/>
          <w:sz w:val="20"/>
          <w:szCs w:val="20"/>
        </w:rPr>
        <w:t xml:space="preserve">compareVs</w:t>
      </w:r>
      <w:r>
        <w:t xml:space="preserve"> — was previously Optional (defaulting to LAST_SNAPSHOT); is now </w:t>
      </w:r>
      <w:r>
        <w:rPr>
          <w:b/>
          <w:bCs/>
        </w:rPr>
        <w:t xml:space="preserve">Required</w:t>
      </w:r>
      <w:r>
        <w:t xml:space="preserve">, across all 6 endpoints that use it. Changed in api-contract.md, changed to </w:t>
      </w:r>
      <w:r>
        <w:rPr>
          <w:rFonts w:ascii="Consolas" w:cs="Consolas" w:eastAsia="Consolas" w:hAnsi="Consolas"/>
          <w:color w:val="8A2BE2"/>
          <w:sz w:val="20"/>
          <w:szCs w:val="20"/>
        </w:rPr>
        <w:t xml:space="preserve">CompareVs!</w:t>
      </w:r>
      <w:r>
        <w:t xml:space="preserve"> in the GraphQL schema, and </w:t>
      </w:r>
      <w:r>
        <w:rPr>
          <w:rFonts w:ascii="Consolas" w:cs="Consolas" w:eastAsia="Consolas" w:hAnsi="Consolas"/>
          <w:color w:val="8A2BE2"/>
          <w:sz w:val="20"/>
          <w:szCs w:val="20"/>
        </w:rPr>
        <w:t xml:space="preserve">@IfAbsent(FAIL)</w:t>
      </w:r>
      <w:r>
        <w:t xml:space="preserve"> added to the 3 already-built Aggregators. Reasoning: unlike the other “uber filters,” compareVs has no meaningful “show all” state.</w:t>
      </w:r>
    </w:p>
    <w:p>
      <w:pPr>
        <w:pStyle w:val="Heading3"/>
        <w:spacing w:after="80" w:before="200"/>
      </w:pPr>
      <w:r>
        <w:rPr>
          <w:b/>
          <w:bCs/>
          <w:color w:val="333333"/>
        </w:rPr>
        <w:t xml:space="preserve">3 items still open — blocked on visual access, not resolved</w:t>
      </w:r>
    </w:p>
    <w:p>
      <w:pPr>
        <w:pStyle w:val="ListParagraph"/>
        <w:numPr>
          <w:ilvl w:val="0"/>
          <w:numId w:val="2"/>
        </w:numPr>
        <w:spacing w:after="80"/>
      </w:pPr>
      <w:r>
        <w:t xml:space="preserve">Whether </w:t>
      </w:r>
      <w:r>
        <w:rPr>
          <w:rFonts w:ascii="Consolas" w:cs="Consolas" w:eastAsia="Consolas" w:hAnsi="Consolas"/>
          <w:color w:val="8A2BE2"/>
          <w:sz w:val="20"/>
          <w:szCs w:val="20"/>
        </w:rPr>
        <w:t xml:space="preserve">fsn</w:t>
      </w:r>
      <w:r>
        <w:t xml:space="preserve"> should become </w:t>
      </w:r>
      <w:r>
        <w:rPr>
          <w:rFonts w:ascii="Consolas" w:cs="Consolas" w:eastAsia="Consolas" w:hAnsi="Consolas"/>
          <w:color w:val="8A2BE2"/>
          <w:sz w:val="20"/>
          <w:szCs w:val="20"/>
        </w:rPr>
        <w:t xml:space="preserve">fsns</w:t>
      </w:r>
      <w:r>
        <w:t xml:space="preserve"> (plural) in the RCA </w:t>
      </w:r>
      <w:r>
        <w:rPr>
          <w:rFonts w:ascii="Consolas" w:cs="Consolas" w:eastAsia="Consolas" w:hAnsi="Consolas"/>
          <w:color w:val="8A2BE2"/>
          <w:sz w:val="20"/>
          <w:szCs w:val="20"/>
        </w:rPr>
        <w:t xml:space="preserve">scope=FSN</w:t>
      </w:r>
      <w:r>
        <w:t xml:space="preserve"> filter — unclear whether this applies to 3 or 4 of the RCA endpoints.</w:t>
      </w:r>
    </w:p>
    <w:p>
      <w:pPr>
        <w:pStyle w:val="ListParagraph"/>
        <w:numPr>
          <w:ilvl w:val="0"/>
          <w:numId w:val="2"/>
        </w:numPr>
        <w:spacing w:after="80"/>
      </w:pPr>
      <w:r>
        <w:t xml:space="preserve">A “poor performing vs. all” toggle that the UX apparently specifies — could not be located.</w:t>
      </w:r>
    </w:p>
    <w:p>
      <w:pPr>
        <w:pStyle w:val="ListParagraph"/>
        <w:numPr>
          <w:ilvl w:val="0"/>
          <w:numId w:val="2"/>
        </w:numPr>
        <w:spacing w:after="80"/>
      </w:pPr>
      <w:r>
        <w:t xml:space="preserve">An “on-load pick list” for Instock Diagnostics' Product View — appears to be a genuinely new, previously undefined feature.</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Why these 3 are still open</w:t>
            </w:r>
          </w:p>
          <w:p>
            <w:pPr>
              <w:spacing w:after="40"/>
            </w:pPr>
            <w:r>
              <w:t xml:space="preserve">Both the Figma file (hit a seat/plan rate limit — not fixable by retrying) and the Netlify prototype (a client-rendered React SPA, so a fetch tool can only see the empty HTML shell, not the rendered screens) were inaccessible this session. These are dead ends until access is sorted out — flagged honestly rather than guessed at.</w:t>
            </w:r>
          </w:p>
        </w:tc>
      </w:tr>
    </w:tbl>
    <w:p>
      <w:pPr>
        <w:pStyle w:val="Heading1"/>
        <w:pBdr>
          <w:bottom w:val="single" w:color="0F6B72" w:sz="8" w:space="4"/>
        </w:pBdr>
        <w:spacing w:after="200" w:before="400"/>
      </w:pPr>
      <w:r>
        <w:rPr>
          <w:b/>
          <w:bCs/>
          <w:color w:val="1F3864"/>
        </w:rPr>
        <w:t xml:space="preserve">11. Access, Repo-Boundary, and Process Issues</w:t>
      </w:r>
    </w:p>
    <w:p>
      <w:pPr>
        <w:pStyle w:val="Heading3"/>
        <w:spacing w:after="80" w:before="200"/>
      </w:pPr>
      <w:r>
        <w:rPr>
          <w:b/>
          <w:bCs/>
          <w:color w:val="333333"/>
        </w:rPr>
        <w:t xml:space="preserve">Why Harbor's code can only live in Harbor's repo</w:t>
      </w:r>
    </w:p>
    <w:p>
      <w:pPr>
        <w:spacing w:after="120"/>
      </w:pPr>
      <w:r>
        <w:t xml:space="preserve">Established with concrete reasoning, not just asserted: Harbor is a single running server at a fixed address, and the frontend's Apollo Client is hardcoded to call exactly one URL (</w:t>
      </w:r>
      <w:r>
        <w:rPr>
          <w:rFonts w:ascii="Consolas" w:cs="Consolas" w:eastAsia="Consolas" w:hAnsi="Consolas"/>
          <w:color w:val="8A2BE2"/>
          <w:sz w:val="20"/>
          <w:szCs w:val="20"/>
        </w:rPr>
        <w:t xml:space="preserve">meridianBackendUrl</w:t>
      </w:r>
      <w:r>
        <w:t xml:space="preserve">, found in the UI team's own HLD). A separate repo of our own would just be unreached, disconnected code — nothing would ever call it.</w:t>
      </w:r>
    </w:p>
    <w:p>
      <w:pPr>
        <w:pStyle w:val="Heading3"/>
        <w:spacing w:after="80" w:before="200"/>
      </w:pPr>
      <w:r>
        <w:rPr>
          <w:b/>
          <w:bCs/>
          <w:color w:val="333333"/>
        </w:rPr>
        <w:t xml:space="preserve">The write-access wall</w:t>
      </w:r>
    </w:p>
    <w:p>
      <w:pPr>
        <w:pStyle w:val="ListParagraph"/>
        <w:numPr>
          <w:ilvl w:val="0"/>
          <w:numId w:val="2"/>
        </w:numPr>
        <w:spacing w:after="80"/>
      </w:pPr>
      <w:r>
        <w:t xml:space="preserve">Hit a genuine GitHub write-permission denial on fk-mart-api-orchestrator — confirmed via a dry-run push, not a credential-loading fluke on one machine.</w:t>
      </w:r>
    </w:p>
    <w:p>
      <w:pPr>
        <w:pStyle w:val="ListParagraph"/>
        <w:numPr>
          <w:ilvl w:val="0"/>
          <w:numId w:val="2"/>
        </w:numPr>
        <w:spacing w:after="80"/>
      </w:pPr>
      <w:r>
        <w:t xml:space="preserve">Re-verified from a second terminal/account with the same denial, which proved the account genuinely lacked write access — even though read access had worked the entire time (every earlier git log / git fetch had succeeded).</w:t>
      </w:r>
    </w:p>
    <w:p>
      <w:pPr>
        <w:pStyle w:val="ListParagraph"/>
        <w:numPr>
          <w:ilvl w:val="0"/>
          <w:numId w:val="2"/>
        </w:numPr>
        <w:spacing w:after="80"/>
      </w:pPr>
      <w:r>
        <w:t xml:space="preserve">Alternative proposals were raised and each was worked through concretely rather than just dismissed: “can't we just make our own repo” (no — nothing would call it) and “can't we change Vaibhav's app to point elsewhere” (no — that means editing a third team's repo without authorization, and would still need separate infra access to host anything).</w:t>
      </w:r>
    </w:p>
    <w:p>
      <w:pPr>
        <w:pStyle w:val="ListParagraph"/>
        <w:numPr>
          <w:ilvl w:val="0"/>
          <w:numId w:val="2"/>
        </w:numPr>
        <w:spacing w:after="80"/>
      </w:pPr>
      <w:r>
        <w:t xml:space="preserve">A related concern — “if lots of teams share one repo, doesn't that not make sense?” — was answered honestly: yes, it is genuinely painful, but the alternative (every team running its own orchestrator) is worse, and this is a known, deliberate industry pattern (e.g. monorepos at Google/Facebook) that trades repo-size pain for one unified schema.</w:t>
      </w:r>
    </w:p>
    <w:p>
      <w:pPr>
        <w:pStyle w:val="ListParagraph"/>
        <w:numPr>
          <w:ilvl w:val="0"/>
          <w:numId w:val="2"/>
        </w:numPr>
        <w:spacing w:after="80"/>
      </w:pPr>
      <w:r>
        <w:t xml:space="preserve">Resolution: access was granted via a teammate (“Ceds”). Every subsequent push was preceded by a safe dry-run check before the real push.</w:t>
      </w:r>
    </w:p>
    <w:p>
      <w:pPr>
        <w:pStyle w:val="Heading3"/>
        <w:spacing w:after="80" w:before="200"/>
      </w:pPr>
      <w:r>
        <w:rPr>
          <w:b/>
          <w:bCs/>
          <w:color w:val="333333"/>
        </w:rPr>
        <w:t xml:space="preserve">Getting a schema preview to the UI team before Harbor access came through</w:t>
      </w:r>
    </w:p>
    <w:p>
      <w:pPr>
        <w:spacing w:after="120"/>
      </w:pPr>
      <w:r>
        <w:t xml:space="preserve">The UI team (Vaibhav) wanted to browse the two real schema files on GitHub directly, not read pasted text — but Harbor access hadn't come through yet, while access to the meridian repo already existed.</w:t>
      </w:r>
    </w:p>
    <w:p>
      <w:pPr>
        <w:pStyle w:val="ListParagraph"/>
        <w:numPr>
          <w:ilvl w:val="0"/>
          <w:numId w:val="2"/>
        </w:numPr>
        <w:spacing w:after="80"/>
      </w:pPr>
      <w:r>
        <w:t xml:space="preserve">Used a separate git worktree, so as not to disturb unrelated in-progress work on another branch.</w:t>
      </w:r>
    </w:p>
    <w:p>
      <w:pPr>
        <w:pStyle w:val="ListParagraph"/>
        <w:numPr>
          <w:ilvl w:val="0"/>
          <w:numId w:val="2"/>
        </w:numPr>
        <w:spacing w:after="80"/>
      </w:pPr>
      <w:r>
        <w:t xml:space="preserve">Copied the real, current Replenishment.graphqls and query.graphqls into a new folder, added a README explicitly marking it as a non-canonical review copy.</w:t>
      </w:r>
    </w:p>
    <w:p>
      <w:pPr>
        <w:pStyle w:val="ListParagraph"/>
        <w:numPr>
          <w:ilvl w:val="0"/>
          <w:numId w:val="2"/>
        </w:numPr>
        <w:spacing w:after="80"/>
      </w:pPr>
      <w:r>
        <w:t xml:space="preserve">Committed and pushed to a new branch, harbor-schema-preview, on the meridian repo.</w:t>
      </w:r>
    </w:p>
    <w:p>
      <w:pPr>
        <w:pStyle w:val="ListParagraph"/>
        <w:numPr>
          <w:ilvl w:val="0"/>
          <w:numId w:val="2"/>
        </w:numPr>
        <w:spacing w:after="80"/>
      </w:pPr>
      <w:r>
        <w:rPr>
          <w:b/>
          <w:bCs/>
        </w:rPr>
        <w:t xml:space="preserve">Deliberately not merged via a PR</w:t>
      </w:r>
      <w:r>
        <w:t xml:space="preserve"> — merging Harbor's files permanently into meridian's own codebase would itself be the bad practice; an unmerged, browsable branch is the correct pattern here.</w:t>
      </w:r>
    </w:p>
    <w:p>
      <w:pPr>
        <w:pStyle w:val="Heading1"/>
        <w:pBdr>
          <w:bottom w:val="single" w:color="0F6B72" w:sz="8" w:space="4"/>
        </w:pBdr>
        <w:spacing w:after="200" w:before="400"/>
      </w:pPr>
      <w:r>
        <w:rPr>
          <w:b/>
          <w:bCs/>
          <w:color w:val="1F3864"/>
        </w:rPr>
        <w:t xml:space="preserve">12. Mistakes Made This Session (Stated Plainly)</w:t>
      </w:r>
    </w:p>
    <w:p>
      <w:pPr>
        <w:spacing w:after="120"/>
      </w:pPr>
      <w:r>
        <w:t xml:space="preserve">Stated openly, in the same spirit as they were flagged during the session:</w:t>
      </w:r>
    </w:p>
    <w:p>
      <w:pPr>
        <w:pStyle w:val="Heading3"/>
        <w:spacing w:after="80" w:before="200"/>
      </w:pPr>
      <w:r>
        <w:rPr>
          <w:b/>
          <w:bCs/>
          <w:color w:val="333333"/>
        </w:rPr>
        <w:t xml:space="preserve">Mistake 1 — trying to “correct” the SDL against a generic convention</w:t>
      </w:r>
    </w:p>
    <w:p>
      <w:pPr>
        <w:spacing w:after="120"/>
      </w:pPr>
      <w:r>
        <w:t xml:space="preserve">The repo's own skill doc said every GraphQL query field should take a single wrapped </w:t>
      </w:r>
      <w:r>
        <w:rPr>
          <w:rFonts w:ascii="Consolas" w:cs="Consolas" w:eastAsia="Consolas" w:hAnsi="Consolas"/>
          <w:color w:val="8A2BE2"/>
          <w:sz w:val="20"/>
          <w:szCs w:val="20"/>
        </w:rPr>
        <w:t xml:space="preserve">input: XInput!</w:t>
      </w:r>
      <w:r>
        <w:t xml:space="preserve"> argument. Our existing SDL used bare args instead (</w:t>
      </w:r>
      <w:r>
        <w:rPr>
          <w:rFonts w:ascii="Consolas" w:cs="Consolas" w:eastAsia="Consolas" w:hAnsi="Consolas"/>
          <w:color w:val="8A2BE2"/>
          <w:sz w:val="20"/>
          <w:szCs w:val="20"/>
        </w:rPr>
        <w:t xml:space="preserve">compareVs</w:t>
      </w:r>
      <w:r>
        <w:t xml:space="preserve">, </w:t>
      </w:r>
      <w:r>
        <w:rPr>
          <w:rFonts w:ascii="Consolas" w:cs="Consolas" w:eastAsia="Consolas" w:hAnsi="Consolas"/>
          <w:color w:val="8A2BE2"/>
          <w:sz w:val="20"/>
          <w:szCs w:val="20"/>
        </w:rPr>
        <w:t xml:space="preserve">filters</w:t>
      </w:r>
      <w:r>
        <w:t xml:space="preserve"> directly). This was initially treated as a mistake needing a rewrite — but it was in fact deliberate, explicit UI-team guidance, backed by two Confluence docs (Meridian UI HLD, UI Solutioning) and the UI team's own example query. The edit was retracted once this was pointed out. </w:t>
      </w:r>
      <w:r>
        <w:rPr>
          <w:b/>
          <w:bCs/>
        </w:rPr>
        <w:t xml:space="preserve">Lesson: </w:t>
      </w:r>
      <w:r>
        <w:t xml:space="preserve">don't unilaterally “correct” an existing SDL against a generic convention without checking the actual, specific requirement first.</w:t>
      </w:r>
    </w:p>
    <w:p>
      <w:pPr>
        <w:pStyle w:val="Heading3"/>
        <w:spacing w:after="80" w:before="200"/>
      </w:pPr>
      <w:r>
        <w:rPr>
          <w:b/>
          <w:bCs/>
          <w:color w:val="333333"/>
        </w:rPr>
        <w:t xml:space="preserve">Mistake 2 — nothing had actually been committed or pushed</w:t>
      </w:r>
    </w:p>
    <w:p>
      <w:pPr>
        <w:spacing w:after="120"/>
      </w:pPr>
      <w:r>
        <w:t xml:space="preserve">At one point it was assumed some work might already be on GitHub. In fact nothing was even committed yet — everything was still raw, uncommitted working-directory state. This was caught by directly checking, not assumed either way.</w:t>
      </w:r>
    </w:p>
    <w:p>
      <w:pPr>
        <w:pStyle w:val="Heading3"/>
        <w:spacing w:after="80" w:before="200"/>
      </w:pPr>
      <w:r>
        <w:rPr>
          <w:b/>
          <w:bCs/>
          <w:color w:val="333333"/>
        </w:rPr>
        <w:t xml:space="preserve">Mistake 3 — a commit landed on the wrong branch (still unresolved)</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Still needs your decision</w:t>
            </w:r>
          </w:p>
          <w:p>
            <w:pPr>
              <w:spacing w:after="40"/>
            </w:pPr>
            <w:r>
              <w:t xml:space="preserve">While committing the compareVs contract-doc change, the currently-checked-out branch in the meridian repo was not checked first. The change landed on j6-hive-es-sink — a branch holding unrelated pipeline/Elasticsearch work — instead of the correct target branch. This was caught and flagged immediately, but is still sitting there unresolved. You need to say which branch it should actually be moved to.</w:t>
            </w:r>
          </w:p>
        </w:tc>
      </w:tr>
    </w:tbl>
    <w:p>
      <w:pPr>
        <w:pStyle w:val="Heading3"/>
        <w:spacing w:after="80" w:before="200"/>
      </w:pPr>
      <w:r>
        <w:rPr>
          <w:b/>
          <w:bCs/>
          <w:color w:val="333333"/>
        </w:rPr>
        <w:t xml:space="preserve">Scope-confusion moment — asked rather than assumed</w:t>
      </w:r>
    </w:p>
    <w:p>
      <w:pPr>
        <w:spacing w:after="120"/>
      </w:pPr>
      <w:r>
        <w:t xml:space="preserve">An instruction was pasted reading “Implement all screens from this Figma file... use React with Tailwind” — clearly written for a frontend-building agent, not matching any of the backend/GraphQL work done so far. Rather than just pivoting to building the React frontend (a repo not even available, in an unfamiliar stack), this was explicitly flagged and confirmation was asked for. No confirmation came back, so no frontend work was done.</w:t>
      </w:r>
    </w:p>
    <w:p>
      <w:pPr>
        <w:pStyle w:val="Heading1"/>
        <w:pBdr>
          <w:bottom w:val="single" w:color="0F6B72" w:sz="8" w:space="4"/>
        </w:pBdr>
        <w:spacing w:after="200" w:before="400"/>
      </w:pPr>
      <w:r>
        <w:rPr>
          <w:b/>
          <w:bCs/>
          <w:color w:val="1F3864"/>
        </w:rPr>
        <w:t xml:space="preserve">13. How the Team Uses Harbor Going Forward — the Real Steps</w:t>
      </w:r>
    </w:p>
    <w:p>
      <w:pPr>
        <w:pStyle w:val="ListParagraph"/>
        <w:numPr>
          <w:ilvl w:val="0"/>
          <w:numId w:val="5"/>
        </w:numPr>
        <w:spacing w:after="80"/>
      </w:pPr>
      <w:r>
        <w:t xml:space="preserve">Design the schema first — add fields/types to a .graphqls file (a new domain file, or an existing one if it genuinely fits). Check for duplicate fields across other teams' domains first — there is a review-board gate specifically for this.</w:t>
      </w:r>
    </w:p>
    <w:p>
      <w:pPr>
        <w:pStyle w:val="ListParagraph"/>
        <w:numPr>
          <w:ilvl w:val="0"/>
          <w:numId w:val="5"/>
        </w:numPr>
        <w:spacing w:after="80"/>
      </w:pPr>
      <w:r>
        <w:t xml:space="preserve">Write the IO Vajram — the class that calls your actual REST endpoint. One per REST call.</w:t>
      </w:r>
    </w:p>
    <w:p>
      <w:pPr>
        <w:pStyle w:val="ListParagraph"/>
        <w:numPr>
          <w:ilvl w:val="0"/>
          <w:numId w:val="5"/>
        </w:numPr>
        <w:spacing w:after="80"/>
      </w:pPr>
      <w:r>
        <w:t xml:space="preserve">Write the Compute Vajram — maps the raw REST response into the GraphQL shape.</w:t>
      </w:r>
    </w:p>
    <w:p>
      <w:pPr>
        <w:pStyle w:val="ListParagraph"/>
        <w:numPr>
          <w:ilvl w:val="0"/>
          <w:numId w:val="5"/>
        </w:numPr>
        <w:spacing w:after="80"/>
      </w:pPr>
      <w:r>
        <w:t xml:space="preserve">Write the Aggregator — the field's real entry point; wires the arguments, handles errors.</w:t>
      </w:r>
    </w:p>
    <w:p>
      <w:pPr>
        <w:pStyle w:val="ListParagraph"/>
        <w:numPr>
          <w:ilvl w:val="0"/>
          <w:numId w:val="5"/>
        </w:numPr>
        <w:spacing w:after="80"/>
      </w:pPr>
      <w:r>
        <w:t xml:space="preserve">Run it locally — Harbor boots at localhost:5123; test your field with a curl request carrying the mandatory headers (X-USER-ID, X-CLIENT-ID).</w:t>
      </w:r>
    </w:p>
    <w:p>
      <w:pPr>
        <w:pStyle w:val="ListParagraph"/>
        <w:numPr>
          <w:ilvl w:val="0"/>
          <w:numId w:val="5"/>
        </w:numPr>
        <w:spacing w:after="80"/>
      </w:pPr>
      <w:r>
        <w:t xml:space="preserve">Push to a branch and open a PR — never direct to main. Someone with platform-side review approves it. This is a deliberate gate, not friction for its own sake, since the code runs inside the same process every other team's code runs in.</w:t>
      </w:r>
    </w:p>
    <w:p>
      <w:pPr>
        <w:pStyle w:val="ListParagraph"/>
        <w:numPr>
          <w:ilvl w:val="0"/>
          <w:numId w:val="5"/>
        </w:numPr>
        <w:spacing w:after="80"/>
      </w:pPr>
      <w:r>
        <w:t xml:space="preserve">Deploy — a separate step from merging; needs its own access chain (build/deploy tooling, K8s namespace).</w:t>
      </w:r>
    </w:p>
    <w:p>
      <w:pPr>
        <w:spacing w:after="120"/>
      </w:pPr>
      <w:r>
        <w:t xml:space="preserve">Full onboarding, beyond just writing code, additionally requires: clearing Nexus Gateway, __typename support, an AppSec review, and the schema review board sign-off. A debugging visualizer tool also exists at an internal-only IP for inspecting live query behavior.</w:t>
      </w:r>
    </w:p>
    <w:p>
      <w:pPr>
        <w:pStyle w:val="Heading1"/>
        <w:pBdr>
          <w:bottom w:val="single" w:color="0F6B72" w:sz="8" w:space="4"/>
        </w:pBdr>
        <w:spacing w:after="200" w:before="400"/>
      </w:pPr>
      <w:r>
        <w:rPr>
          <w:b/>
          <w:bCs/>
          <w:color w:val="1F3864"/>
        </w:rPr>
        <w:t xml:space="preserve">14. Current State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Repo</w:t>
            </w:r>
          </w:p>
        </w:tc>
        <w:tc>
          <w:tcPr>
            <w:tcW w:type="dxa" w:w="3200"/>
            <w:shd w:fill="1F3864" w:val="clear"/>
            <w:tcMar>
              <w:top w:type="dxa" w:w="80"/>
              <w:left w:type="dxa" w:w="100"/>
              <w:bottom w:type="dxa" w:w="80"/>
              <w:right w:type="dxa" w:w="100"/>
            </w:tcMar>
            <w:vAlign w:val="center"/>
          </w:tcPr>
          <w:p>
            <w:r>
              <w:rPr>
                <w:b/>
                <w:bCs/>
                <w:color w:val="FFFFFF"/>
                <w:sz w:val="20"/>
                <w:szCs w:val="20"/>
              </w:rPr>
              <w:t xml:space="preserve">Branch</w:t>
            </w:r>
          </w:p>
        </w:tc>
        <w:tc>
          <w:tcPr>
            <w:tcW w:type="dxa" w:w="3150"/>
            <w:shd w:fill="1F3864" w:val="clear"/>
            <w:tcMar>
              <w:top w:type="dxa" w:w="80"/>
              <w:left w:type="dxa" w:w="100"/>
              <w:bottom w:type="dxa" w:w="80"/>
              <w:right w:type="dxa" w:w="100"/>
            </w:tcMar>
            <w:vAlign w:val="center"/>
          </w:tcPr>
          <w:p>
            <w:r>
              <w:rPr>
                <w:b/>
                <w:bCs/>
                <w:color w:val="FFFFFF"/>
                <w:sz w:val="20"/>
                <w:szCs w:val="20"/>
              </w:rPr>
              <w:t xml:space="preserve">State</w:t>
            </w:r>
          </w:p>
        </w:tc>
      </w:tr>
      <w:tr>
        <w:tc>
          <w:tcPr>
            <w:tcW w:type="dxa" w:w="3000"/>
            <w:shd w:fill="FFFFFF" w:val="clear"/>
            <w:tcMar>
              <w:top w:type="dxa" w:w="70"/>
              <w:left w:type="dxa" w:w="100"/>
              <w:bottom w:type="dxa" w:w="70"/>
              <w:right w:type="dxa" w:w="100"/>
            </w:tcMar>
            <w:vAlign w:val="center"/>
          </w:tcPr>
          <w:p>
            <w:r>
              <w:rPr>
                <w:sz w:val="20"/>
                <w:szCs w:val="20"/>
              </w:rPr>
              <w:t xml:space="preserve">fk-mart-api-orchestrator</w:t>
            </w:r>
          </w:p>
        </w:tc>
        <w:tc>
          <w:tcPr>
            <w:tcW w:type="dxa" w:w="3200"/>
            <w:shd w:fill="FFFFFF" w:val="clear"/>
            <w:tcMar>
              <w:top w:type="dxa" w:w="70"/>
              <w:left w:type="dxa" w:w="100"/>
              <w:bottom w:type="dxa" w:w="70"/>
              <w:right w:type="dxa" w:w="100"/>
            </w:tcMar>
            <w:vAlign w:val="center"/>
          </w:tcPr>
          <w:p>
            <w:r>
              <w:rPr>
                <w:sz w:val="20"/>
                <w:szCs w:val="20"/>
              </w:rPr>
              <w:t xml:space="preserve">instock-monitoring-sdl-vajram</w:t>
            </w:r>
          </w:p>
        </w:tc>
        <w:tc>
          <w:tcPr>
            <w:tcW w:type="dxa" w:w="3150"/>
            <w:shd w:fill="FFFFFF" w:val="clear"/>
            <w:tcMar>
              <w:top w:type="dxa" w:w="70"/>
              <w:left w:type="dxa" w:w="100"/>
              <w:bottom w:type="dxa" w:w="70"/>
              <w:right w:type="dxa" w:w="100"/>
            </w:tcMar>
            <w:vAlign w:val="center"/>
          </w:tcPr>
          <w:p>
            <w:r>
              <w:rPr>
                <w:sz w:val="20"/>
                <w:szCs w:val="20"/>
              </w:rPr>
              <w:t xml:space="preserve">Pushed — 6 commits, no PR opened yet</w:t>
            </w:r>
          </w:p>
        </w:tc>
      </w:tr>
      <w:tr>
        <w:tc>
          <w:tcPr>
            <w:tcW w:type="dxa" w:w="3000"/>
            <w:shd w:fill="F2F6F6" w:val="clear"/>
            <w:tcMar>
              <w:top w:type="dxa" w:w="70"/>
              <w:left w:type="dxa" w:w="100"/>
              <w:bottom w:type="dxa" w:w="70"/>
              <w:right w:type="dxa" w:w="100"/>
            </w:tcMar>
            <w:vAlign w:val="center"/>
          </w:tcPr>
          <w:p>
            <w:r>
              <w:rPr>
                <w:sz w:val="20"/>
                <w:szCs w:val="20"/>
              </w:rPr>
              <w:t xml:space="preserve">meridian</w:t>
            </w:r>
          </w:p>
        </w:tc>
        <w:tc>
          <w:tcPr>
            <w:tcW w:type="dxa" w:w="3200"/>
            <w:shd w:fill="F2F6F6" w:val="clear"/>
            <w:tcMar>
              <w:top w:type="dxa" w:w="70"/>
              <w:left w:type="dxa" w:w="100"/>
              <w:bottom w:type="dxa" w:w="70"/>
              <w:right w:type="dxa" w:w="100"/>
            </w:tcMar>
            <w:vAlign w:val="center"/>
          </w:tcPr>
          <w:p>
            <w:r>
              <w:rPr>
                <w:sz w:val="20"/>
                <w:szCs w:val="20"/>
              </w:rPr>
              <w:t xml:space="preserve">harbor-schema-preview</w:t>
            </w:r>
          </w:p>
        </w:tc>
        <w:tc>
          <w:tcPr>
            <w:tcW w:type="dxa" w:w="3150"/>
            <w:shd w:fill="F2F6F6" w:val="clear"/>
            <w:tcMar>
              <w:top w:type="dxa" w:w="70"/>
              <w:left w:type="dxa" w:w="100"/>
              <w:bottom w:type="dxa" w:w="70"/>
              <w:right w:type="dxa" w:w="100"/>
            </w:tcMar>
            <w:vAlign w:val="center"/>
          </w:tcPr>
          <w:p>
            <w:r>
              <w:rPr>
                <w:sz w:val="20"/>
                <w:szCs w:val="20"/>
              </w:rPr>
              <w:t xml:space="preserve">Pushed — review-only, deliberately left unmerged</w:t>
            </w:r>
          </w:p>
        </w:tc>
      </w:tr>
      <w:tr>
        <w:tc>
          <w:tcPr>
            <w:tcW w:type="dxa" w:w="3000"/>
            <w:shd w:fill="FFFFFF" w:val="clear"/>
            <w:tcMar>
              <w:top w:type="dxa" w:w="70"/>
              <w:left w:type="dxa" w:w="100"/>
              <w:bottom w:type="dxa" w:w="70"/>
              <w:right w:type="dxa" w:w="100"/>
            </w:tcMar>
            <w:vAlign w:val="center"/>
          </w:tcPr>
          <w:p>
            <w:r>
              <w:rPr>
                <w:sz w:val="20"/>
                <w:szCs w:val="20"/>
              </w:rPr>
              <w:t xml:space="preserve">meridian</w:t>
            </w:r>
          </w:p>
        </w:tc>
        <w:tc>
          <w:tcPr>
            <w:tcW w:type="dxa" w:w="3200"/>
            <w:shd w:fill="FFFFFF" w:val="clear"/>
            <w:tcMar>
              <w:top w:type="dxa" w:w="70"/>
              <w:left w:type="dxa" w:w="100"/>
              <w:bottom w:type="dxa" w:w="70"/>
              <w:right w:type="dxa" w:w="100"/>
            </w:tcMar>
            <w:vAlign w:val="center"/>
          </w:tcPr>
          <w:p>
            <w:r>
              <w:rPr>
                <w:sz w:val="20"/>
                <w:szCs w:val="20"/>
              </w:rPr>
              <w:t xml:space="preserve">j6-hive-es-sink</w:t>
            </w:r>
          </w:p>
        </w:tc>
        <w:tc>
          <w:tcPr>
            <w:tcW w:type="dxa" w:w="3150"/>
            <w:shd w:fill="FFFFFF" w:val="clear"/>
            <w:tcMar>
              <w:top w:type="dxa" w:w="70"/>
              <w:left w:type="dxa" w:w="100"/>
              <w:bottom w:type="dxa" w:w="70"/>
              <w:right w:type="dxa" w:w="100"/>
            </w:tcMar>
            <w:vAlign w:val="center"/>
          </w:tcPr>
          <w:p>
            <w:r>
              <w:rPr>
                <w:sz w:val="20"/>
                <w:szCs w:val="20"/>
              </w:rPr>
              <w:t xml:space="preserve">Has 1 misplaced commit (compareVs change) still needing relocation</w:t>
            </w:r>
          </w:p>
        </w:tc>
      </w:tr>
    </w:tbl>
    <w:p>
      <w:pPr>
        <w:spacing w:after="120"/>
      </w:pPr>
      <w:r>
        <w:t xml:space="preserve"/>
      </w:r>
    </w:p>
    <w:p>
      <w:pPr>
        <w:spacing w:after="120"/>
      </w:pPr>
      <w:r>
        <w:t xml:space="preserve">Overall build progress: 4 of 13 GraphQL operations fully wired end-to-end. Not built: 6 mechanical operations (no blockers) plus 3 genuinely complex ones (a union type, dual-endpoint dispatch, and a REST/GraphQL field gap), plus 3 UX clarifications that could not be verified visually this session.</w:t>
      </w:r>
    </w:p>
    <w:tbl>
      <w:tblPr>
        <w:tblW w:type="pct" w:w="100%"/>
        <w:tblBorders>
          <w:top w:val="single" w:color="B00020" w:sz="4"/>
          <w:left w:val="single" w:color="B00020" w:sz="24"/>
          <w:bottom w:val="single" w:color="B00020" w:sz="4"/>
          <w:right w:val="single" w:color="B00020"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pPr>
              <w:spacing w:after="60"/>
            </w:pPr>
            <w:r>
              <w:rPr>
                <w:b/>
                <w:bCs/>
                <w:color w:val="B00020"/>
              </w:rPr>
              <w:t xml:space="preserve">Still missing for a real deployment</w:t>
            </w:r>
          </w:p>
          <w:p>
            <w:pPr>
              <w:spacing w:after="40"/>
            </w:pPr>
            <w:r>
              <w:t xml:space="preserve">The exact Authn targetClientId string that identifies Meridian's serving layer.</w:t>
            </w:r>
          </w:p>
          <w:p>
            <w:pPr>
              <w:spacing w:after="40"/>
            </w:pPr>
            <w:r>
              <w:t xml:space="preserve">Real host and port values added to the remote config bucket (fk-mart-api-orchestrator-config).</w:t>
            </w:r>
          </w:p>
        </w:tc>
      </w:tr>
    </w:tbl>
    <w:p>
      <w:pPr>
        <w:pStyle w:val="Heading1"/>
        <w:pBdr>
          <w:bottom w:val="single" w:color="0F6B72" w:sz="8" w:space="4"/>
        </w:pBdr>
        <w:spacing w:after="200" w:before="400"/>
      </w:pPr>
      <w:r>
        <w:rPr>
          <w:b/>
          <w:bCs/>
          <w:color w:val="1F3864"/>
        </w:rPr>
        <w:t xml:space="preserve">15. Business Context — Where This Fits in the Roadmap</w:t>
      </w:r>
    </w:p>
    <w:p>
      <w:pPr>
        <w:spacing w:after="120"/>
      </w:pPr>
      <w:r>
        <w:t xml:space="preserve">A “Product Strategy Note” was reviewed, describing a 5-phase roadmap:</w:t>
      </w:r>
    </w:p>
    <w:p>
      <w:pPr>
        <w:pStyle w:val="ListParagraph"/>
        <w:numPr>
          <w:ilvl w:val="0"/>
          <w:numId w:val="6"/>
        </w:numPr>
        <w:spacing w:after="80"/>
      </w:pPr>
      <w:r>
        <w:t xml:space="preserve">Metrics &amp; Insights</w:t>
      </w:r>
    </w:p>
    <w:p>
      <w:pPr>
        <w:pStyle w:val="ListParagraph"/>
        <w:numPr>
          <w:ilvl w:val="0"/>
          <w:numId w:val="6"/>
        </w:numPr>
        <w:spacing w:after="80"/>
      </w:pPr>
      <w:r>
        <w:t xml:space="preserve">Predictive Alerting</w:t>
      </w:r>
    </w:p>
    <w:p>
      <w:pPr>
        <w:pStyle w:val="ListParagraph"/>
        <w:numPr>
          <w:ilvl w:val="0"/>
          <w:numId w:val="6"/>
        </w:numPr>
        <w:spacing w:after="80"/>
      </w:pPr>
      <w:r>
        <w:t xml:space="preserve">Recommendations</w:t>
      </w:r>
    </w:p>
    <w:p>
      <w:pPr>
        <w:pStyle w:val="ListParagraph"/>
        <w:numPr>
          <w:ilvl w:val="0"/>
          <w:numId w:val="6"/>
        </w:numPr>
        <w:spacing w:after="80"/>
      </w:pPr>
      <w:r>
        <w:t xml:space="preserve">Policy Integration</w:t>
      </w:r>
    </w:p>
    <w:p>
      <w:pPr>
        <w:pStyle w:val="ListParagraph"/>
        <w:numPr>
          <w:ilvl w:val="0"/>
          <w:numId w:val="6"/>
        </w:numPr>
        <w:spacing w:after="80"/>
      </w:pPr>
      <w:r>
        <w:t xml:space="preserve">Autonomous Agent</w:t>
      </w:r>
    </w:p>
    <w:tbl>
      <w:tblPr>
        <w:tblW w:type="pct" w:w="100%"/>
        <w:tblBorders>
          <w:top w:val="single" w:color="0F6B72" w:sz="4"/>
          <w:left w:val="single" w:color="0F6B72" w:sz="24"/>
          <w:bottom w:val="single" w:color="0F6B72" w:sz="4"/>
          <w:right w:val="single" w:color="0F6B72" w:sz="4"/>
          <w:insideH w:val="single" w:color="auto" w:sz="4"/>
          <w:insideV w:val="single" w:color="auto" w:sz="4"/>
        </w:tblBorders>
      </w:tblPr>
      <w:tblGrid>
        <w:gridCol w:w="100"/>
      </w:tblGrid>
      <w:tr>
        <w:tc>
          <w:tcPr>
            <w:shd w:fill="EAF1F1" w:val="clear"/>
            <w:tcMar>
              <w:top w:type="dxa" w:w="120"/>
              <w:left w:type="dxa" w:w="180"/>
              <w:bottom w:type="dxa" w:w="120"/>
              <w:right w:type="dxa" w:w="180"/>
            </w:tcMar>
          </w:tcPr>
          <w:p>
            <w:pPr>
              <w:spacing w:after="60"/>
            </w:pPr>
            <w:r>
              <w:rPr>
                <w:b/>
                <w:bCs/>
                <w:color w:val="0F6B72"/>
              </w:rPr>
              <w:t xml:space="preserve">Scope confirmation</w:t>
            </w:r>
          </w:p>
          <w:p>
            <w:pPr>
              <w:spacing w:after="40"/>
            </w:pPr>
            <w:r>
              <w:t xml:space="preserve">Everything being built right now (unified metrics, monitoring dashboards, a policy audit trail) is Phase 1 only. Phases 2–5 are explicitly future scope and were not built into today's contract. Useful to state plainly to the team so nobody assumes predictive/recommendation features are already in scope.</w:t>
            </w:r>
          </w:p>
        </w:tc>
      </w:tr>
    </w:tbl>
    <w:p>
      <w:pPr>
        <w:pStyle w:val="Heading1"/>
        <w:pBdr>
          <w:bottom w:val="single" w:color="0F6B72" w:sz="8" w:space="4"/>
        </w:pBdr>
        <w:spacing w:after="200" w:before="400"/>
      </w:pPr>
      <w:r>
        <w:rPr>
          <w:b/>
          <w:bCs/>
          <w:color w:val="1F3864"/>
        </w:rPr>
        <w:t xml:space="preserve">16. Anticipated Team Questions &amp; Honest Answers</w:t>
      </w:r>
    </w:p>
    <w:p>
      <w:pPr>
        <w:pStyle w:val="Heading3"/>
        <w:spacing w:after="80" w:before="200"/>
      </w:pPr>
      <w:r>
        <w:rPr>
          <w:b/>
          <w:bCs/>
          <w:color w:val="333333"/>
        </w:rPr>
        <w:t xml:space="preserve">“Why can't we just call Meridian's REST API directly and skip all this?”</w:t>
      </w:r>
    </w:p>
    <w:p>
      <w:pPr>
        <w:spacing w:after="120"/>
      </w:pPr>
      <w:r>
        <w:t xml:space="preserve">Technically you could, for this one app. It's mandated because Harbor is the org-standard BFF (backend-for-frontend) pattern — the tradeoff is real onboarding friction now, in exchange for shared infrastructure and governance later.</w:t>
      </w:r>
    </w:p>
    <w:p>
      <w:pPr>
        <w:pStyle w:val="Heading3"/>
        <w:spacing w:after="80" w:before="200"/>
      </w:pPr>
      <w:r>
        <w:rPr>
          <w:b/>
          <w:bCs/>
          <w:color w:val="333333"/>
        </w:rPr>
        <w:t xml:space="preserve">“Why do we need special access just to add our own fields?”</w:t>
      </w:r>
    </w:p>
    <w:p>
      <w:pPr>
        <w:spacing w:after="120"/>
      </w:pPr>
      <w:r>
        <w:t xml:space="preserve">Because the code runs inside the same running process that every other team's code runs in — a bad merge could break GraphQL for everyone, not just us. That's why there's a review gate, and why write access to the repo isn't handed out by default.</w:t>
      </w:r>
    </w:p>
    <w:p>
      <w:pPr>
        <w:pStyle w:val="Heading3"/>
        <w:spacing w:after="80" w:before="200"/>
      </w:pPr>
      <w:r>
        <w:rPr>
          <w:b/>
          <w:bCs/>
          <w:color w:val="333333"/>
        </w:rPr>
        <w:t xml:space="preserve">“Is any of this live yet?”</w:t>
      </w:r>
    </w:p>
    <w:p>
      <w:pPr>
        <w:spacing w:after="120"/>
      </w:pPr>
      <w:r>
        <w:t xml:space="preserve">No. Nothing is deployed anywhere. What exists is a pushed branch with code and schema — not yet merged, not yet reviewed.</w:t>
      </w:r>
    </w:p>
    <w:p>
      <w:pPr>
        <w:pStyle w:val="Heading3"/>
        <w:spacing w:after="80" w:before="200"/>
      </w:pPr>
      <w:r>
        <w:rPr>
          <w:b/>
          <w:bCs/>
          <w:color w:val="333333"/>
        </w:rPr>
        <w:t xml:space="preserve">“Aren't Aggregators auto-generated? I read that somewhere.”</w:t>
      </w:r>
    </w:p>
    <w:p>
      <w:pPr>
        <w:spacing w:after="120"/>
      </w:pPr>
      <w:r>
        <w:t xml:space="preserve">No — that describes a disabled, unused code-gen path. Every Aggregator today, including all of ours, is hand-written.</w:t>
      </w:r>
    </w:p>
    <w:p>
      <w:pPr>
        <w:pStyle w:val="Heading3"/>
        <w:spacing w:after="80" w:before="200"/>
      </w:pPr>
      <w:r>
        <w:rPr>
          <w:b/>
          <w:bCs/>
          <w:color w:val="333333"/>
        </w:rPr>
        <w:t xml:space="preserve">“What happens if the REST call fails?”</w:t>
      </w:r>
    </w:p>
    <w:p>
      <w:pPr>
        <w:spacing w:after="120"/>
      </w:pPr>
      <w:r>
        <w:t xml:space="preserve">It doesn't crash the whole response. GraphQL still returns HTTP 200, with the specific field's error captured inside the graphErrors array.</w:t>
      </w:r>
    </w:p>
    <w:p>
      <w:pPr>
        <w:pStyle w:val="Heading3"/>
        <w:spacing w:after="80" w:before="200"/>
      </w:pPr>
      <w:r>
        <w:rPr>
          <w:b/>
          <w:bCs/>
          <w:color w:val="333333"/>
        </w:rPr>
        <w:t xml:space="preserve">“Can we just build our own separate version of this instead, to move faster?”</w:t>
      </w:r>
    </w:p>
    <w:p>
      <w:pPr>
        <w:spacing w:after="120"/>
      </w:pPr>
      <w:r>
        <w:t xml:space="preserve">No — the frontend is hardcoded to call Harbor's one specific URL. A separate server, hosted anywhere else, is just code nobody would ever call.</w:t>
      </w:r>
    </w:p>
    <w:p>
      <w:pPr>
        <w:pStyle w:val="Heading3"/>
        <w:spacing w:after="80" w:before="200"/>
      </w:pPr>
      <w:r>
        <w:rPr>
          <w:b/>
          <w:bCs/>
          <w:color w:val="333333"/>
        </w:rPr>
        <w:t xml:space="preserve">“Why does the SDL use bare arguments instead of a single wrapped input object, like the rest of the codebase's convention?”</w:t>
      </w:r>
    </w:p>
    <w:p>
      <w:pPr>
        <w:spacing w:after="120"/>
      </w:pPr>
      <w:r>
        <w:t xml:space="preserve">Because that was explicit, deliberate guidance from the UI team, documented in their own HLD and Solutioning docs, and matches the UI team's own example queries. It looks like a deviation from convention, but it's a specific requirement, not an oversight.</w:t>
      </w:r>
    </w:p>
    <w:p>
      <w:pPr>
        <w:pStyle w:val="Heading1"/>
        <w:pBdr>
          <w:bottom w:val="single" w:color="0F6B72" w:sz="8" w:space="4"/>
        </w:pBdr>
        <w:spacing w:after="200" w:before="400"/>
      </w:pPr>
      <w:r>
        <w:rPr>
          <w:b/>
          <w:bCs/>
          <w:color w:val="1F3864"/>
        </w:rPr>
        <w:t xml:space="preserve">17. Open Items Needing a Decision From You</w:t>
      </w:r>
    </w:p>
    <w:p>
      <w:pPr>
        <w:pStyle w:val="ListParagraph"/>
        <w:numPr>
          <w:ilvl w:val="0"/>
          <w:numId w:val="7"/>
        </w:numPr>
        <w:spacing w:after="80"/>
      </w:pPr>
      <w:r>
        <w:t xml:space="preserve">Which branch the misplaced compareVs commit on j6-hive-es-sink should actually be relocated to.</w:t>
      </w:r>
    </w:p>
    <w:p>
      <w:pPr>
        <w:pStyle w:val="ListParagraph"/>
        <w:numPr>
          <w:ilvl w:val="0"/>
          <w:numId w:val="7"/>
        </w:numPr>
        <w:spacing w:after="80"/>
      </w:pPr>
      <w:r>
        <w:t xml:space="preserve">Whether to open the PR for instock-monitoring-sdl-vajram now, or wait.</w:t>
      </w:r>
    </w:p>
    <w:p>
      <w:pPr>
        <w:pStyle w:val="ListParagraph"/>
        <w:numPr>
          <w:ilvl w:val="0"/>
          <w:numId w:val="7"/>
        </w:numPr>
        <w:spacing w:after="80"/>
      </w:pPr>
      <w:r>
        <w:t xml:space="preserve">lowInstockStores: add a cityCode field to the REST response, or drop the city-code/name split from the GraphQL schema.</w:t>
      </w:r>
    </w:p>
    <w:p>
      <w:pPr>
        <w:pStyle w:val="ListParagraph"/>
        <w:numPr>
          <w:ilvl w:val="0"/>
          <w:numId w:val="7"/>
        </w:numPr>
        <w:spacing w:after="80"/>
      </w:pPr>
      <w:r>
        <w:t xml:space="preserve">rootCauseDrillDown: confirm the exact mapping of each “bucket” argument value to its corresponding REST endpoint.</w:t>
      </w:r>
    </w:p>
    <w:p>
      <w:pPr>
        <w:pStyle w:val="ListParagraph"/>
        <w:numPr>
          <w:ilvl w:val="0"/>
          <w:numId w:val="7"/>
        </w:numPr>
        <w:spacing w:after="80"/>
      </w:pPr>
      <w:r>
        <w:t xml:space="preserve">createExportJob: confirm the dispatch logic between the OOS export endpoint and the 4 RCA export types.</w:t>
      </w:r>
    </w:p>
    <w:p>
      <w:pPr>
        <w:pStyle w:val="ListParagraph"/>
        <w:numPr>
          <w:ilvl w:val="0"/>
          <w:numId w:val="7"/>
        </w:numPr>
        <w:spacing w:after="80"/>
      </w:pPr>
      <w:r>
        <w:t xml:space="preserve">The exact Authn targetClientId string for Meridian's serving layer (needed to finish real auth wiring).</w:t>
      </w:r>
    </w:p>
    <w:p>
      <w:pPr>
        <w:pStyle w:val="ListParagraph"/>
        <w:numPr>
          <w:ilvl w:val="0"/>
          <w:numId w:val="7"/>
        </w:numPr>
        <w:spacing w:after="80"/>
      </w:pPr>
      <w:r>
        <w:t xml:space="preserve">Real host/port values to be added to the remote config bucket (fk-mart-api-orchestrator-config) by whoever manages it.</w:t>
      </w:r>
    </w:p>
    <w:p>
      <w:pPr>
        <w:pStyle w:val="ListParagraph"/>
        <w:numPr>
          <w:ilvl w:val="0"/>
          <w:numId w:val="7"/>
        </w:numPr>
        <w:spacing w:after="80"/>
      </w:pPr>
      <w:r>
        <w:t xml:space="preserve">Resolution on the 3 open UX items (fsn/fsns plurality scope, the “poor performing vs. all” toggle, the on-load pick list) — needs either direct Figma/Netlify access restored, or someone to relay screenshots.</w:t>
      </w:r>
    </w:p>
    <w:p>
      <w:pPr>
        <w:pStyle w:val="ListParagraph"/>
        <w:numPr>
          <w:ilvl w:val="0"/>
          <w:numId w:val="7"/>
        </w:numPr>
        <w:spacing w:after="80"/>
      </w:pPr>
      <w:r>
        <w:t xml:space="preserve">Whether meridian-ui (React) frontend work is actually wanted from this workstream, given the earlier scope-confusion moment where that was asked but never confirmed.</w:t>
      </w:r>
    </w:p>
    <w:p>
      <w:pPr>
        <w:pBdr>
          <w:top w:val="single" w:color="AAAAAA" w:sz="6" w:space="8"/>
        </w:pBdr>
        <w:spacing w:before="400"/>
      </w:pPr>
      <w:r>
        <w:rPr>
          <w:i/>
          <w:iCs/>
          <w:color w:val="595959"/>
          <w:sz w:val="20"/>
          <w:szCs w:val="20"/>
        </w:rPr>
        <w:t xml:space="preserve">End of briefing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abstractNum w:abstractNumId="10" w15:restartNumberingAfterBreak="0">
    <w:multiLevelType w:val="hybridMultilevel"/>
    <w:lvl w:ilvl="0" w15:tentative="1">
      <w:start w:val="1"/>
      <w:numFmt w:val="decimal"/>
      <w:lvlText w:val="%1."/>
      <w:lvlJc w:val="left"/>
      <w:pPr>
        <w:ind w:left="420" w:hanging="260"/>
      </w:pPr>
    </w:lvl>
  </w:abstractNum>
  <w:abstractNum w:abstractNumId="11" w15:restartNumberingAfterBreak="0">
    <w:multiLevelType w:val="hybridMultilevel"/>
    <w:lvl w:ilvl="0" w15:tentative="1">
      <w:start w:val="1"/>
      <w:numFmt w:val="decimal"/>
      <w:lvlText w:val="%1."/>
      <w:lvlJc w:val="left"/>
      <w:pPr>
        <w:ind w:left="420" w:hanging="260"/>
      </w:pPr>
    </w:lvl>
  </w:abstractNum>
  <w:abstractNum w:abstractNumId="12" w15:restartNumberingAfterBreak="0">
    <w:multiLevelType w:val="hybridMultilevel"/>
    <w:lvl w:ilvl="0" w15:tentative="1">
      <w:start w:val="1"/>
      <w:numFmt w:val="decimal"/>
      <w:lvlText w:val="%1."/>
      <w:lvlJc w:val="left"/>
      <w:pPr>
        <w:ind w:left="420" w:hanging="260"/>
      </w:pPr>
    </w:lvl>
  </w:abstractNum>
  <w:abstractNum w:abstractNumId="13" w15:restartNumberingAfterBreak="0">
    <w:multiLevelType w:val="hybridMultilevel"/>
    <w:lvl w:ilvl="0" w15:tentative="1">
      <w:start w:val="1"/>
      <w:numFmt w:val="decimal"/>
      <w:lvlText w:val="%1."/>
      <w:lvlJc w:val="left"/>
      <w:pPr>
        <w:ind w:left="420" w:hanging="260"/>
      </w:pPr>
    </w:lvl>
  </w:abstractNum>
  <w:abstractNum w:abstractNumId="14" w15:restartNumberingAfterBreak="0">
    <w:multiLevelType w:val="hybridMultilevel"/>
    <w:lvl w:ilvl="0" w15:tentative="1">
      <w:start w:val="1"/>
      <w:numFmt w:val="decimal"/>
      <w:lvlText w:val="%1."/>
      <w:lvlJc w:val="left"/>
      <w:pPr>
        <w:ind w:left="420" w:hanging="260"/>
      </w:pPr>
    </w:lvl>
  </w:abstractNum>
  <w:abstractNum w:abstractNumId="15" w15:restartNumberingAfterBreak="0">
    <w:multiLevelType w:val="hybridMultilevel"/>
    <w:lvl w:ilvl="0" w15:tentative="1">
      <w:start w:val="1"/>
      <w:numFmt w:val="decimal"/>
      <w:lvlText w:val="%1."/>
      <w:lvlJc w:val="left"/>
      <w:pPr>
        <w:ind w:left="420" w:hanging="260"/>
      </w:pPr>
    </w:lvl>
  </w:abstractNum>
  <w:abstractNum w:abstractNumId="16" w15:restartNumberingAfterBreak="0">
    <w:multiLevelType w:val="hybridMultilevel"/>
    <w:lvl w:ilvl="0" w15:tentative="1">
      <w:start w:val="1"/>
      <w:numFmt w:val="decimal"/>
      <w:lvlText w:val="%1."/>
      <w:lvlJc w:val="left"/>
      <w:pPr>
        <w:ind w:left="420" w:hanging="260"/>
      </w:pPr>
    </w:lvl>
  </w:abstractNum>
  <w:abstractNum w:abstractNumId="17" w15:restartNumberingAfterBreak="0">
    <w:multiLevelType w:val="hybridMultilevel"/>
    <w:lvl w:ilvl="0" w15:tentative="1">
      <w:start w:val="1"/>
      <w:numFmt w:val="decimal"/>
      <w:lvlText w:val="%1."/>
      <w:lvlJc w:val="left"/>
      <w:pPr>
        <w:ind w:left="420" w:hanging="260"/>
      </w:pPr>
    </w:lvl>
  </w:abstractNum>
  <w:abstractNum w:abstractNumId="18" w15:restartNumberingAfterBreak="0">
    <w:multiLevelType w:val="hybridMultilevel"/>
    <w:lvl w:ilvl="0" w15:tentative="1">
      <w:start w:val="1"/>
      <w:numFmt w:val="decimal"/>
      <w:lvlText w:val="%1."/>
      <w:lvlJc w:val="left"/>
      <w:pPr>
        <w:ind w:left="420" w:hanging="260"/>
      </w:pPr>
    </w:lvl>
  </w:abstractNum>
  <w:abstractNum w:abstractNumId="19" w15:restartNumberingAfterBreak="0">
    <w:multiLevelType w:val="hybridMultilevel"/>
    <w:lvl w:ilvl="0" w15:tentative="1">
      <w:start w:val="1"/>
      <w:numFmt w:val="decimal"/>
      <w:lvlText w:val="%1."/>
      <w:lvlJc w:val="left"/>
      <w:pPr>
        <w:ind w:left="420" w:hanging="260"/>
      </w:pPr>
    </w:lvl>
  </w:abstractNum>
  <w:abstractNum w:abstractNumId="20" w15:restartNumberingAfterBreak="0">
    <w:multiLevelType w:val="hybridMultilevel"/>
    <w:lvl w:ilvl="0" w15:tentative="1">
      <w:start w:val="1"/>
      <w:numFmt w:val="decimal"/>
      <w:lvlText w:val="%1."/>
      <w:lvlJc w:val="left"/>
      <w:pPr>
        <w:ind w:left="420" w:hanging="260"/>
      </w:pPr>
    </w:lvl>
  </w:abstractNum>
  <w:abstractNum w:abstractNumId="21" w15:restartNumberingAfterBreak="0">
    <w:multiLevelType w:val="hybridMultilevel"/>
    <w:lvl w:ilvl="0" w15:tentative="1">
      <w:start w:val="1"/>
      <w:numFmt w:val="decimal"/>
      <w:lvlText w:val="%1."/>
      <w:lvlJc w:val="left"/>
      <w:pPr>
        <w:ind w:left="420" w:hanging="260"/>
      </w:pPr>
    </w:lvl>
  </w:abstractNum>
  <w:abstractNum w:abstractNumId="22" w15:restartNumberingAfterBreak="0">
    <w:multiLevelType w:val="hybridMultilevel"/>
    <w:lvl w:ilvl="0" w15:tentative="1">
      <w:start w:val="1"/>
      <w:numFmt w:val="decimal"/>
      <w:lvlText w:val="%1."/>
      <w:lvlJc w:val="left"/>
      <w:pPr>
        <w:ind w:left="420" w:hanging="260"/>
      </w:pPr>
    </w:lvl>
  </w:abstractNum>
  <w:abstractNum w:abstractNumId="23" w15:restartNumberingAfterBreak="0">
    <w:multiLevelType w:val="hybridMultilevel"/>
    <w:lvl w:ilvl="0" w15:tentative="1">
      <w:start w:val="1"/>
      <w:numFmt w:val="decimal"/>
      <w:lvlText w:val="%1."/>
      <w:lvlJc w:val="left"/>
      <w:pPr>
        <w:ind w:left="420" w:hanging="260"/>
      </w:pPr>
    </w:lvl>
  </w:abstractNum>
  <w:abstractNum w:abstractNumId="24" w15:restartNumberingAfterBreak="0">
    <w:multiLevelType w:val="hybridMultilevel"/>
    <w:lvl w:ilvl="0" w15:tentative="1">
      <w:start w:val="1"/>
      <w:numFmt w:val="decimal"/>
      <w:lvlText w:val="%1."/>
      <w:lvlJc w:val="left"/>
      <w:pPr>
        <w:ind w:left="420" w:hanging="260"/>
      </w:pPr>
    </w:lvl>
  </w:abstractNum>
  <w:abstractNum w:abstractNumId="25" w15:restartNumberingAfterBreak="0">
    <w:multiLevelType w:val="hybridMultilevel"/>
    <w:lvl w:ilvl="0" w15:tentative="1">
      <w:start w:val="1"/>
      <w:numFmt w:val="decimal"/>
      <w:lvlText w:val="%1."/>
      <w:lvlJc w:val="left"/>
      <w:pPr>
        <w:ind w:left="420" w:hanging="260"/>
      </w:pPr>
    </w:lvl>
  </w:abstractNum>
  <w:abstractNum w:abstractNumId="26" w15:restartNumberingAfterBreak="0">
    <w:multiLevelType w:val="hybridMultilevel"/>
    <w:lvl w:ilvl="0" w15:tentative="1">
      <w:start w:val="1"/>
      <w:numFmt w:val="decimal"/>
      <w:lvlText w:val="%1."/>
      <w:lvlJc w:val="left"/>
      <w:pPr>
        <w:ind w:left="420" w:hanging="260"/>
      </w:pPr>
    </w:lvl>
  </w:abstractNum>
  <w:abstractNum w:abstractNumId="27" w15:restartNumberingAfterBreak="0">
    <w:multiLevelType w:val="hybridMultilevel"/>
    <w:lvl w:ilvl="0" w15:tentative="1">
      <w:start w:val="1"/>
      <w:numFmt w:val="decimal"/>
      <w:lvlText w:val="%1."/>
      <w:lvlJc w:val="left"/>
      <w:pPr>
        <w:ind w:left="420" w:hanging="260"/>
      </w:pPr>
    </w:lvl>
  </w:abstractNum>
  <w:abstractNum w:abstractNumId="28" w15:restartNumberingAfterBreak="0">
    <w:multiLevelType w:val="hybridMultilevel"/>
    <w:lvl w:ilvl="0" w15:tentative="1">
      <w:start w:val="1"/>
      <w:numFmt w:val="decimal"/>
      <w:lvlText w:val="%1."/>
      <w:lvlJc w:val="left"/>
      <w:pPr>
        <w:ind w:left="420" w:hanging="260"/>
      </w:pPr>
    </w:lvl>
  </w:abstractNum>
  <w:abstractNum w:abstractNumId="29" w15:restartNumberingAfterBreak="0">
    <w:multiLevelType w:val="hybridMultilevel"/>
    <w:lvl w:ilvl="0" w15:tentative="1">
      <w:start w:val="1"/>
      <w:numFmt w:val="decimal"/>
      <w:lvlText w:val="%1."/>
      <w:lvlJc w:val="left"/>
      <w:pPr>
        <w:ind w:left="420" w:hanging="260"/>
      </w:pPr>
    </w:lvl>
  </w:abstractNum>
  <w:abstractNum w:abstractNumId="30" w15:restartNumberingAfterBreak="0">
    <w:multiLevelType w:val="hybridMultilevel"/>
    <w:lvl w:ilvl="0" w15:tentative="1">
      <w:start w:val="1"/>
      <w:numFmt w:val="decimal"/>
      <w:lvlText w:val="%1."/>
      <w:lvlJc w:val="left"/>
      <w:pPr>
        <w:ind w:left="420" w:hanging="260"/>
      </w:pPr>
    </w:lvl>
  </w:abstractNum>
  <w:abstractNum w:abstractNumId="31" w15:restartNumberingAfterBreak="0">
    <w:multiLevelType w:val="hybridMultilevel"/>
    <w:lvl w:ilvl="0" w15:tentative="1">
      <w:start w:val="1"/>
      <w:numFmt w:val="decimal"/>
      <w:lvlText w:val="%1."/>
      <w:lvlJc w:val="left"/>
      <w:pPr>
        <w:ind w:left="420" w:hanging="260"/>
      </w:pPr>
    </w:lvl>
  </w:abstractNum>
  <w:abstractNum w:abstractNumId="32"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2026-07-07T11:01:53.282Z</dcterms:created>
  <dcterms:modified xsi:type="dcterms:W3CDTF">2026-07-07T11:01:53.282Z</dcterms:modified>
</cp:coreProperties>
</file>

<file path=docProps/custom.xml><?xml version="1.0" encoding="utf-8"?>
<Properties xmlns="http://schemas.openxmlformats.org/officeDocument/2006/custom-properties" xmlns:vt="http://schemas.openxmlformats.org/officeDocument/2006/docPropsVTypes"/>
</file>