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FC8" w:rsidRDefault="005354B2" w:rsidP="005354B2">
      <w:pPr>
        <w:jc w:val="both"/>
        <w:rPr>
          <w:b/>
          <w:bCs/>
          <w:sz w:val="36"/>
          <w:szCs w:val="36"/>
        </w:rPr>
      </w:pPr>
      <w:proofErr w:type="spellStart"/>
      <w:r w:rsidRPr="005354B2">
        <w:rPr>
          <w:b/>
          <w:bCs/>
          <w:sz w:val="36"/>
          <w:szCs w:val="36"/>
        </w:rPr>
        <w:t>Blinkit</w:t>
      </w:r>
      <w:proofErr w:type="spellEnd"/>
      <w:r w:rsidRPr="005354B2">
        <w:rPr>
          <w:b/>
          <w:bCs/>
          <w:sz w:val="36"/>
          <w:szCs w:val="36"/>
        </w:rPr>
        <w:t xml:space="preserve"> Sales &amp; Customer Insights Dashboard – Detailed Analytical Report</w:t>
      </w:r>
    </w:p>
    <w:p w:rsidR="005354B2" w:rsidRDefault="005354B2" w:rsidP="005354B2">
      <w:r>
        <w:t xml:space="preserve">This report provides an in-depth explanation of every KPI, chart, and insight displayed in the </w:t>
      </w:r>
      <w:proofErr w:type="spellStart"/>
      <w:r>
        <w:t>Blinkit</w:t>
      </w:r>
      <w:proofErr w:type="spellEnd"/>
      <w:r>
        <w:t xml:space="preserve"> Excel Dashboard. The goal is to highlight business performance trends, customer behavior, and operational efficiency derived from the dataset.</w:t>
      </w:r>
    </w:p>
    <w:p w:rsidR="005354B2" w:rsidRDefault="005354B2" w:rsidP="005354B2">
      <w:pPr>
        <w:jc w:val="both"/>
        <w:rPr>
          <w:b/>
          <w:bCs/>
          <w:szCs w:val="22"/>
        </w:rPr>
      </w:pPr>
      <w:r w:rsidRPr="005354B2">
        <w:rPr>
          <w:b/>
          <w:bCs/>
          <w:noProof/>
          <w:szCs w:val="22"/>
        </w:rPr>
        <w:drawing>
          <wp:inline distT="0" distB="0" distL="0" distR="0">
            <wp:extent cx="6840855" cy="4097073"/>
            <wp:effectExtent l="0" t="0" r="0" b="0"/>
            <wp:docPr id="1" name="Picture 1" descr="C:\Users\Anupam\Pictures\Screenshots\Screenshot 2025-11-06 110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upam\Pictures\Screenshots\Screenshot 2025-11-06 11011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40855" cy="4097073"/>
                    </a:xfrm>
                    <a:prstGeom prst="rect">
                      <a:avLst/>
                    </a:prstGeom>
                    <a:noFill/>
                    <a:ln>
                      <a:noFill/>
                    </a:ln>
                  </pic:spPr>
                </pic:pic>
              </a:graphicData>
            </a:graphic>
          </wp:inline>
        </w:drawing>
      </w: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Default="005354B2" w:rsidP="005354B2">
      <w:pPr>
        <w:rPr>
          <w:b/>
          <w:bCs/>
          <w:szCs w:val="22"/>
        </w:rPr>
      </w:pPr>
    </w:p>
    <w:p w:rsidR="005354B2" w:rsidRPr="00927FAC" w:rsidRDefault="005354B2" w:rsidP="005354B2">
      <w:pPr>
        <w:rPr>
          <w:b/>
          <w:bCs/>
          <w:sz w:val="36"/>
          <w:szCs w:val="36"/>
        </w:rPr>
      </w:pPr>
      <w:r w:rsidRPr="00927FAC">
        <w:rPr>
          <w:b/>
          <w:bCs/>
          <w:sz w:val="36"/>
          <w:szCs w:val="36"/>
        </w:rPr>
        <w:lastRenderedPageBreak/>
        <w:t>Category Wise Performance –Analysis</w:t>
      </w:r>
    </w:p>
    <w:p w:rsidR="005354B2" w:rsidRDefault="005354B2" w:rsidP="005354B2">
      <w:pPr>
        <w:rPr>
          <w:b/>
          <w:bCs/>
          <w:szCs w:val="22"/>
        </w:rPr>
      </w:pPr>
      <w:r>
        <w:t xml:space="preserve">The </w:t>
      </w:r>
      <w:r>
        <w:rPr>
          <w:rStyle w:val="Strong"/>
        </w:rPr>
        <w:t>Category Wise Performance</w:t>
      </w:r>
      <w:r>
        <w:t xml:space="preserve"> chart shows a well-balanced distribution of sales across multiple product categories, with </w:t>
      </w:r>
      <w:r>
        <w:rPr>
          <w:rStyle w:val="Strong"/>
        </w:rPr>
        <w:t>Dairy &amp; Breakfast (13%)</w:t>
      </w:r>
      <w:r>
        <w:t xml:space="preserve"> leading as the top contributor, followed closely by </w:t>
      </w:r>
      <w:r>
        <w:rPr>
          <w:rStyle w:val="Strong"/>
        </w:rPr>
        <w:t>Pharmacy (12%)</w:t>
      </w:r>
      <w:r>
        <w:t xml:space="preserve"> and </w:t>
      </w:r>
      <w:r>
        <w:rPr>
          <w:rStyle w:val="Strong"/>
        </w:rPr>
        <w:t>Fruits &amp; Vegetables (11%)</w:t>
      </w:r>
      <w:r>
        <w:t xml:space="preserve">, indicating strong demand for daily essentials. </w:t>
      </w:r>
      <w:r>
        <w:rPr>
          <w:rStyle w:val="Strong"/>
        </w:rPr>
        <w:t>Pet Care (11%)</w:t>
      </w:r>
      <w:r>
        <w:t xml:space="preserve"> and </w:t>
      </w:r>
      <w:r>
        <w:rPr>
          <w:rStyle w:val="Strong"/>
        </w:rPr>
        <w:t>Personal Care (9%)</w:t>
      </w:r>
      <w:r>
        <w:t xml:space="preserve"> also contribute significantly, reflecting repeat-purchase behavior. Mid-tier categories like </w:t>
      </w:r>
      <w:r>
        <w:rPr>
          <w:rStyle w:val="Strong"/>
        </w:rPr>
        <w:t>Snacks &amp; Munchies</w:t>
      </w:r>
      <w:r>
        <w:t xml:space="preserve">, </w:t>
      </w:r>
      <w:r>
        <w:rPr>
          <w:rStyle w:val="Strong"/>
        </w:rPr>
        <w:t>Cold Drinks &amp; Juices</w:t>
      </w:r>
      <w:r>
        <w:t xml:space="preserve">, and </w:t>
      </w:r>
      <w:r>
        <w:rPr>
          <w:rStyle w:val="Strong"/>
        </w:rPr>
        <w:t>Grocery &amp; Staples</w:t>
      </w:r>
      <w:r>
        <w:t xml:space="preserve"> each hold an 8% share, showing consistent consumption. Lower-performing segments such as </w:t>
      </w:r>
      <w:r>
        <w:rPr>
          <w:rStyle w:val="Strong"/>
        </w:rPr>
        <w:t>Baby Care (7%)</w:t>
      </w:r>
      <w:r>
        <w:t xml:space="preserve"> and </w:t>
      </w:r>
      <w:r>
        <w:rPr>
          <w:rStyle w:val="Strong"/>
        </w:rPr>
        <w:t>Instant &amp; Frozen Food (6%)</w:t>
      </w:r>
      <w:r>
        <w:t xml:space="preserve"> still add value but offer growth potential. Overall, the chart highlights a healthy spread of customer demand across essential, lifestyle, and convenience categories.</w:t>
      </w:r>
    </w:p>
    <w:p w:rsidR="005354B2" w:rsidRDefault="005354B2" w:rsidP="00927FAC">
      <w:pPr>
        <w:jc w:val="center"/>
        <w:rPr>
          <w:b/>
          <w:bCs/>
          <w:szCs w:val="22"/>
        </w:rPr>
      </w:pPr>
      <w:r>
        <w:rPr>
          <w:noProof/>
        </w:rPr>
        <w:drawing>
          <wp:inline distT="0" distB="0" distL="0" distR="0" wp14:anchorId="75C8B643" wp14:editId="4D453875">
            <wp:extent cx="6299200" cy="2882900"/>
            <wp:effectExtent l="19050" t="57150" r="101600" b="50800"/>
            <wp:docPr id="2" name="Chart 2">
              <a:extLst xmlns:a="http://schemas.openxmlformats.org/drawingml/2006/main">
                <a:ext uri="{FF2B5EF4-FFF2-40B4-BE49-F238E27FC236}">
                  <a16:creationId xmlns="" xmlns:xdr="http://schemas.openxmlformats.org/drawingml/2006/spreadsheetDrawing" xmlns:a16="http://schemas.microsoft.com/office/drawing/2014/main" xmlns:lc="http://schemas.openxmlformats.org/drawingml/2006/lockedCanvas" id="{4540E1EA-5531-42C8-B66E-B09A689CE8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5354B2" w:rsidRPr="005354B2" w:rsidRDefault="005354B2" w:rsidP="005354B2">
      <w:pPr>
        <w:spacing w:before="100" w:beforeAutospacing="1" w:after="100" w:afterAutospacing="1" w:line="240" w:lineRule="auto"/>
        <w:outlineLvl w:val="0"/>
        <w:rPr>
          <w:b/>
          <w:bCs/>
          <w:sz w:val="36"/>
          <w:szCs w:val="36"/>
        </w:rPr>
      </w:pPr>
      <w:r w:rsidRPr="00927FAC">
        <w:rPr>
          <w:b/>
          <w:bCs/>
          <w:sz w:val="36"/>
          <w:szCs w:val="36"/>
        </w:rPr>
        <w:t>Overall Customer Experience Summary</w:t>
      </w:r>
    </w:p>
    <w:p w:rsidR="005354B2" w:rsidRPr="005354B2" w:rsidRDefault="005354B2" w:rsidP="005354B2">
      <w:pPr>
        <w:spacing w:before="100" w:beforeAutospacing="1" w:after="100" w:afterAutospacing="1" w:line="240" w:lineRule="auto"/>
      </w:pPr>
      <w:r w:rsidRPr="005354B2">
        <w:t xml:space="preserve">Customers are largely satisfied across all four aspects—App Experience, Customer Service, Delivery, and Product Quality—evidenced by the dominance of 4-star and 3-star ratings. App usability and customer service are the strongest areas, while delivery has slight variation that may reflect logistical challenges. Product quality remains consistently good, reinforcing trust and repeat purchases. Overall, the business provides a </w:t>
      </w:r>
      <w:r w:rsidRPr="00927FAC">
        <w:t>strong, reliable, and customer-friendly experience</w:t>
      </w:r>
      <w:r w:rsidRPr="005354B2">
        <w:t xml:space="preserve"> with opportunities for small refinements in delivery and product consistency.</w:t>
      </w:r>
    </w:p>
    <w:p w:rsidR="005354B2" w:rsidRDefault="00927FAC" w:rsidP="00927FAC">
      <w:pPr>
        <w:jc w:val="center"/>
      </w:pPr>
      <w:r>
        <w:rPr>
          <w:noProof/>
        </w:rPr>
        <w:drawing>
          <wp:inline distT="0" distB="0" distL="0" distR="0" wp14:anchorId="43A1C8EA" wp14:editId="5C6F4FF3">
            <wp:extent cx="5963478" cy="2655735"/>
            <wp:effectExtent l="19050" t="57150" r="94615" b="49530"/>
            <wp:docPr id="3" name="Chart 3">
              <a:extLst xmlns:a="http://schemas.openxmlformats.org/drawingml/2006/main">
                <a:ext uri="{FF2B5EF4-FFF2-40B4-BE49-F238E27FC236}">
                  <a16:creationId xmlns="" xmlns:xdr="http://schemas.openxmlformats.org/drawingml/2006/spreadsheetDrawing" xmlns:a16="http://schemas.microsoft.com/office/drawing/2014/main" xmlns:lc="http://schemas.openxmlformats.org/drawingml/2006/lockedCanvas" id="{3AFC6660-D78B-4B12-A4F8-5168002EA6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927FAC" w:rsidRPr="00927FAC" w:rsidRDefault="00927FAC" w:rsidP="00927FAC">
      <w:pPr>
        <w:pStyle w:val="NormalWeb"/>
        <w:rPr>
          <w:rFonts w:asciiTheme="minorHAnsi" w:eastAsiaTheme="minorHAnsi" w:hAnsiTheme="minorHAnsi" w:cs="Mangal"/>
          <w:b/>
          <w:bCs/>
          <w:sz w:val="36"/>
          <w:szCs w:val="36"/>
        </w:rPr>
      </w:pPr>
      <w:r w:rsidRPr="00927FAC">
        <w:rPr>
          <w:rFonts w:asciiTheme="minorHAnsi" w:eastAsiaTheme="minorHAnsi" w:hAnsiTheme="minorHAnsi" w:cs="Mangal"/>
          <w:b/>
          <w:bCs/>
          <w:sz w:val="36"/>
          <w:szCs w:val="36"/>
        </w:rPr>
        <w:lastRenderedPageBreak/>
        <w:t>Sales Correlation</w:t>
      </w:r>
    </w:p>
    <w:p w:rsidR="00927FAC" w:rsidRDefault="00927FAC" w:rsidP="00927FAC">
      <w:pPr>
        <w:spacing w:before="100" w:beforeAutospacing="1" w:after="100" w:afterAutospacing="1" w:line="240" w:lineRule="auto"/>
      </w:pPr>
      <w:r>
        <w:t xml:space="preserve">The </w:t>
      </w:r>
      <w:r w:rsidRPr="00927FAC">
        <w:rPr>
          <w:b/>
          <w:bCs/>
        </w:rPr>
        <w:t>Sales Correlation</w:t>
      </w:r>
      <w:r>
        <w:t xml:space="preserve"> chart compares the total unit price (revenue) and quantity sold across different product categories. Categories like </w:t>
      </w:r>
      <w:r w:rsidRPr="00927FAC">
        <w:rPr>
          <w:b/>
          <w:bCs/>
        </w:rPr>
        <w:t>Dairy &amp; Breakfast</w:t>
      </w:r>
      <w:r>
        <w:t xml:space="preserve"> and </w:t>
      </w:r>
      <w:r w:rsidRPr="00927FAC">
        <w:rPr>
          <w:b/>
          <w:bCs/>
        </w:rPr>
        <w:t>Fruits &amp; Vegetables</w:t>
      </w:r>
      <w:r>
        <w:t xml:space="preserve"> show both high quantity and high revenue, indicating strong demand and consistent sales. </w:t>
      </w:r>
      <w:r w:rsidRPr="00927FAC">
        <w:rPr>
          <w:b/>
          <w:bCs/>
        </w:rPr>
        <w:t>Pet Care</w:t>
      </w:r>
      <w:r>
        <w:t xml:space="preserve"> and </w:t>
      </w:r>
      <w:r w:rsidRPr="00927FAC">
        <w:rPr>
          <w:b/>
          <w:bCs/>
        </w:rPr>
        <w:t>Pharmacy</w:t>
      </w:r>
      <w:r>
        <w:t xml:space="preserve"> also generate high revenue despite moderate quantities, suggesting higher-priced items. In contrast, categories like </w:t>
      </w:r>
      <w:r w:rsidRPr="00927FAC">
        <w:rPr>
          <w:b/>
          <w:bCs/>
        </w:rPr>
        <w:t>Instant &amp; Frozen Food</w:t>
      </w:r>
      <w:r>
        <w:t xml:space="preserve"> and </w:t>
      </w:r>
      <w:r w:rsidRPr="00927FAC">
        <w:rPr>
          <w:b/>
          <w:bCs/>
        </w:rPr>
        <w:t>Baby Care</w:t>
      </w:r>
      <w:r>
        <w:t xml:space="preserve"> have lower quantities and revenue, reflecting limited demand. Overall, the chart shows that essential categories drive the highest sales volumes, while premium or specialized categories contribute more through higher pricing.</w:t>
      </w:r>
    </w:p>
    <w:p w:rsidR="00927FAC" w:rsidRDefault="00927FAC" w:rsidP="00927FAC">
      <w:pPr>
        <w:spacing w:before="100" w:beforeAutospacing="1" w:after="100" w:afterAutospacing="1" w:line="240" w:lineRule="auto"/>
        <w:jc w:val="center"/>
        <w:rPr>
          <w:rFonts w:cs="Times New Roman"/>
        </w:rPr>
      </w:pPr>
      <w:r>
        <w:rPr>
          <w:noProof/>
        </w:rPr>
        <w:drawing>
          <wp:inline distT="0" distB="0" distL="0" distR="0" wp14:anchorId="0EE6CA3A" wp14:editId="6E125821">
            <wp:extent cx="5340350" cy="2787650"/>
            <wp:effectExtent l="19050" t="57150" r="88900" b="50800"/>
            <wp:docPr id="4" name="Chart 4">
              <a:extLst xmlns:a="http://schemas.openxmlformats.org/drawingml/2006/main">
                <a:ext uri="{FF2B5EF4-FFF2-40B4-BE49-F238E27FC236}">
                  <a16:creationId xmlns="" xmlns:xdr="http://schemas.openxmlformats.org/drawingml/2006/spreadsheetDrawing" xmlns:a16="http://schemas.microsoft.com/office/drawing/2014/main" xmlns:lc="http://schemas.openxmlformats.org/drawingml/2006/lockedCanvas" id="{9889BB96-65B8-4DFC-A057-2299689C85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927FAC" w:rsidRPr="00927FAC" w:rsidRDefault="00927FAC" w:rsidP="00927FAC">
      <w:pPr>
        <w:pStyle w:val="NormalWeb"/>
        <w:rPr>
          <w:rFonts w:asciiTheme="minorHAnsi" w:eastAsiaTheme="minorHAnsi" w:hAnsiTheme="minorHAnsi" w:cs="Mangal"/>
          <w:b/>
          <w:bCs/>
          <w:sz w:val="36"/>
          <w:szCs w:val="36"/>
        </w:rPr>
      </w:pPr>
      <w:r w:rsidRPr="00927FAC">
        <w:rPr>
          <w:rFonts w:asciiTheme="minorHAnsi" w:eastAsiaTheme="minorHAnsi" w:hAnsiTheme="minorHAnsi" w:cs="Mangal"/>
          <w:b/>
          <w:bCs/>
          <w:sz w:val="36"/>
          <w:szCs w:val="36"/>
        </w:rPr>
        <w:t>Customer Segmentation</w:t>
      </w:r>
    </w:p>
    <w:p w:rsidR="00927FAC" w:rsidRDefault="00927FAC" w:rsidP="00927FAC">
      <w:pPr>
        <w:pStyle w:val="NormalWeb"/>
        <w:rPr>
          <w:rFonts w:asciiTheme="minorHAnsi" w:eastAsiaTheme="minorHAnsi" w:hAnsiTheme="minorHAnsi" w:cs="Mangal"/>
          <w:sz w:val="22"/>
          <w:szCs w:val="20"/>
        </w:rPr>
      </w:pPr>
      <w:r w:rsidRPr="00927FAC">
        <w:rPr>
          <w:rFonts w:asciiTheme="minorHAnsi" w:eastAsiaTheme="minorHAnsi" w:hAnsiTheme="minorHAnsi" w:cs="Mangal"/>
          <w:sz w:val="22"/>
          <w:szCs w:val="20"/>
        </w:rPr>
        <w:t xml:space="preserve">The </w:t>
      </w:r>
      <w:r w:rsidRPr="00927FAC">
        <w:rPr>
          <w:rFonts w:asciiTheme="minorHAnsi" w:eastAsiaTheme="minorHAnsi" w:hAnsiTheme="minorHAnsi" w:cs="Mangal"/>
          <w:b/>
          <w:bCs/>
          <w:sz w:val="22"/>
          <w:szCs w:val="20"/>
        </w:rPr>
        <w:t>Customer Segments</w:t>
      </w:r>
      <w:r w:rsidRPr="00927FAC">
        <w:rPr>
          <w:rFonts w:asciiTheme="minorHAnsi" w:eastAsiaTheme="minorHAnsi" w:hAnsiTheme="minorHAnsi" w:cs="Mangal"/>
          <w:sz w:val="22"/>
          <w:szCs w:val="20"/>
        </w:rPr>
        <w:t xml:space="preserve"> chart shows a well-balanced distribution of users across four categories, indicating a diverse customer base. </w:t>
      </w:r>
      <w:r w:rsidRPr="00927FAC">
        <w:rPr>
          <w:rFonts w:asciiTheme="minorHAnsi" w:eastAsiaTheme="minorHAnsi" w:hAnsiTheme="minorHAnsi" w:cs="Mangal"/>
          <w:b/>
          <w:bCs/>
          <w:sz w:val="22"/>
          <w:szCs w:val="20"/>
        </w:rPr>
        <w:t>Regular customers (639)</w:t>
      </w:r>
      <w:r w:rsidRPr="00927FAC">
        <w:rPr>
          <w:rFonts w:asciiTheme="minorHAnsi" w:eastAsiaTheme="minorHAnsi" w:hAnsiTheme="minorHAnsi" w:cs="Mangal"/>
          <w:sz w:val="22"/>
          <w:szCs w:val="20"/>
        </w:rPr>
        <w:t xml:space="preserve"> form the largest group, showing strong ongoing engagement. </w:t>
      </w:r>
      <w:r w:rsidRPr="00927FAC">
        <w:rPr>
          <w:rFonts w:asciiTheme="minorHAnsi" w:eastAsiaTheme="minorHAnsi" w:hAnsiTheme="minorHAnsi" w:cs="Mangal"/>
          <w:b/>
          <w:bCs/>
          <w:sz w:val="22"/>
          <w:szCs w:val="20"/>
        </w:rPr>
        <w:t>Premium customers (633)</w:t>
      </w:r>
      <w:r w:rsidRPr="00927FAC">
        <w:rPr>
          <w:rFonts w:asciiTheme="minorHAnsi" w:eastAsiaTheme="minorHAnsi" w:hAnsiTheme="minorHAnsi" w:cs="Mangal"/>
          <w:sz w:val="22"/>
          <w:szCs w:val="20"/>
        </w:rPr>
        <w:t xml:space="preserve"> are also significant, highlighting a loyal and high-value segment. </w:t>
      </w:r>
      <w:r w:rsidRPr="00927FAC">
        <w:rPr>
          <w:rFonts w:asciiTheme="minorHAnsi" w:eastAsiaTheme="minorHAnsi" w:hAnsiTheme="minorHAnsi" w:cs="Mangal"/>
          <w:b/>
          <w:bCs/>
          <w:sz w:val="22"/>
          <w:szCs w:val="20"/>
        </w:rPr>
        <w:t>New customers (628)</w:t>
      </w:r>
      <w:r w:rsidRPr="00927FAC">
        <w:rPr>
          <w:rFonts w:asciiTheme="minorHAnsi" w:eastAsiaTheme="minorHAnsi" w:hAnsiTheme="minorHAnsi" w:cs="Mangal"/>
          <w:sz w:val="22"/>
          <w:szCs w:val="20"/>
        </w:rPr>
        <w:t xml:space="preserve"> are nearly equal in number, reflecting steady customer acquisition. Meanwhile, </w:t>
      </w:r>
      <w:r w:rsidRPr="00927FAC">
        <w:rPr>
          <w:rFonts w:asciiTheme="minorHAnsi" w:eastAsiaTheme="minorHAnsi" w:hAnsiTheme="minorHAnsi" w:cs="Mangal"/>
          <w:b/>
          <w:bCs/>
          <w:sz w:val="22"/>
          <w:szCs w:val="20"/>
        </w:rPr>
        <w:t>Inactive customers (600)</w:t>
      </w:r>
      <w:r w:rsidRPr="00927FAC">
        <w:rPr>
          <w:rFonts w:asciiTheme="minorHAnsi" w:eastAsiaTheme="minorHAnsi" w:hAnsiTheme="minorHAnsi" w:cs="Mangal"/>
          <w:sz w:val="22"/>
          <w:szCs w:val="20"/>
        </w:rPr>
        <w:t xml:space="preserve"> represent a smaller portion, suggesting relatively low churn. Overall, the business maintains a healthy mix of new, active, and high-value customers.</w:t>
      </w:r>
    </w:p>
    <w:p w:rsidR="00927FAC" w:rsidRDefault="00927FAC" w:rsidP="00927FAC">
      <w:pPr>
        <w:pStyle w:val="NormalWeb"/>
        <w:jc w:val="center"/>
        <w:rPr>
          <w:rFonts w:asciiTheme="minorHAnsi" w:eastAsiaTheme="minorHAnsi" w:hAnsiTheme="minorHAnsi" w:cs="Mangal"/>
          <w:sz w:val="22"/>
          <w:szCs w:val="20"/>
        </w:rPr>
      </w:pPr>
      <w:r>
        <w:rPr>
          <w:noProof/>
        </w:rPr>
        <w:drawing>
          <wp:inline distT="0" distB="0" distL="0" distR="0" wp14:anchorId="0E60D400" wp14:editId="41D77C14">
            <wp:extent cx="3776870" cy="2480807"/>
            <wp:effectExtent l="19050" t="57150" r="90805" b="53340"/>
            <wp:docPr id="5" name="Chart 5">
              <a:extLst xmlns:a="http://schemas.openxmlformats.org/drawingml/2006/main">
                <a:ext uri="{FF2B5EF4-FFF2-40B4-BE49-F238E27FC236}">
                  <a16:creationId xmlns="" xmlns:xdr="http://schemas.openxmlformats.org/drawingml/2006/spreadsheetDrawing" xmlns:a16="http://schemas.microsoft.com/office/drawing/2014/main" xmlns:lc="http://schemas.openxmlformats.org/drawingml/2006/lockedCanvas" id="{047AFA1B-CBF4-495D-8102-64C3D2A42A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927FAC" w:rsidRDefault="00927FAC" w:rsidP="00927FAC">
      <w:pPr>
        <w:pStyle w:val="NormalWeb"/>
        <w:jc w:val="center"/>
        <w:rPr>
          <w:rFonts w:asciiTheme="minorHAnsi" w:eastAsiaTheme="minorHAnsi" w:hAnsiTheme="minorHAnsi" w:cs="Mangal"/>
          <w:sz w:val="22"/>
          <w:szCs w:val="20"/>
        </w:rPr>
      </w:pPr>
    </w:p>
    <w:p w:rsidR="00572661" w:rsidRPr="00572661" w:rsidRDefault="00572661" w:rsidP="00572661">
      <w:pPr>
        <w:pStyle w:val="NormalWeb"/>
        <w:rPr>
          <w:rFonts w:asciiTheme="minorHAnsi" w:eastAsiaTheme="minorHAnsi" w:hAnsiTheme="minorHAnsi" w:cs="Mangal"/>
          <w:b/>
          <w:bCs/>
          <w:sz w:val="36"/>
          <w:szCs w:val="36"/>
        </w:rPr>
      </w:pPr>
      <w:r w:rsidRPr="00572661">
        <w:rPr>
          <w:rFonts w:asciiTheme="minorHAnsi" w:eastAsiaTheme="minorHAnsi" w:hAnsiTheme="minorHAnsi" w:cs="Mangal"/>
          <w:b/>
          <w:bCs/>
          <w:sz w:val="36"/>
          <w:szCs w:val="36"/>
        </w:rPr>
        <w:lastRenderedPageBreak/>
        <w:t>Top 10 Products by Sales</w:t>
      </w:r>
    </w:p>
    <w:p w:rsidR="00572661" w:rsidRPr="00572661" w:rsidRDefault="00572661" w:rsidP="00572661">
      <w:pPr>
        <w:pStyle w:val="NormalWeb"/>
        <w:rPr>
          <w:rFonts w:asciiTheme="minorHAnsi" w:eastAsiaTheme="minorHAnsi" w:hAnsiTheme="minorHAnsi" w:cs="Mangal"/>
          <w:sz w:val="22"/>
          <w:szCs w:val="20"/>
        </w:rPr>
      </w:pPr>
      <w:r w:rsidRPr="00572661">
        <w:rPr>
          <w:rFonts w:asciiTheme="minorHAnsi" w:eastAsiaTheme="minorHAnsi" w:hAnsiTheme="minorHAnsi" w:cs="Mangal"/>
          <w:sz w:val="22"/>
          <w:szCs w:val="20"/>
        </w:rPr>
        <w:t xml:space="preserve">The </w:t>
      </w:r>
      <w:r w:rsidRPr="00572661">
        <w:rPr>
          <w:rFonts w:asciiTheme="minorHAnsi" w:eastAsiaTheme="minorHAnsi" w:hAnsiTheme="minorHAnsi" w:cs="Mangal"/>
          <w:b/>
          <w:bCs/>
          <w:sz w:val="22"/>
          <w:szCs w:val="20"/>
        </w:rPr>
        <w:t>Top 10 Products by Sales</w:t>
      </w:r>
      <w:r w:rsidRPr="00572661">
        <w:rPr>
          <w:rFonts w:asciiTheme="minorHAnsi" w:eastAsiaTheme="minorHAnsi" w:hAnsiTheme="minorHAnsi" w:cs="Mangal"/>
          <w:sz w:val="22"/>
          <w:szCs w:val="20"/>
        </w:rPr>
        <w:t xml:space="preserve"> chart highlights the highest-earning items across categories. </w:t>
      </w:r>
      <w:r w:rsidRPr="00572661">
        <w:rPr>
          <w:rFonts w:asciiTheme="minorHAnsi" w:eastAsiaTheme="minorHAnsi" w:hAnsiTheme="minorHAnsi" w:cs="Mangal"/>
          <w:b/>
          <w:bCs/>
          <w:sz w:val="22"/>
          <w:szCs w:val="20"/>
        </w:rPr>
        <w:t>Vitamins</w:t>
      </w:r>
      <w:r w:rsidRPr="00572661">
        <w:rPr>
          <w:rFonts w:asciiTheme="minorHAnsi" w:eastAsiaTheme="minorHAnsi" w:hAnsiTheme="minorHAnsi" w:cs="Mangal"/>
          <w:sz w:val="22"/>
          <w:szCs w:val="20"/>
        </w:rPr>
        <w:t xml:space="preserve"> lead with the highest sales, followed closely by </w:t>
      </w:r>
      <w:r w:rsidRPr="00572661">
        <w:rPr>
          <w:rFonts w:asciiTheme="minorHAnsi" w:eastAsiaTheme="minorHAnsi" w:hAnsiTheme="minorHAnsi" w:cs="Mangal"/>
          <w:b/>
          <w:bCs/>
          <w:sz w:val="22"/>
          <w:szCs w:val="20"/>
        </w:rPr>
        <w:t>Pet Treats</w:t>
      </w:r>
      <w:r w:rsidRPr="00572661">
        <w:rPr>
          <w:rFonts w:asciiTheme="minorHAnsi" w:eastAsiaTheme="minorHAnsi" w:hAnsiTheme="minorHAnsi" w:cs="Mangal"/>
          <w:sz w:val="22"/>
          <w:szCs w:val="20"/>
        </w:rPr>
        <w:t xml:space="preserve"> and </w:t>
      </w:r>
      <w:r w:rsidRPr="00572661">
        <w:rPr>
          <w:rFonts w:asciiTheme="minorHAnsi" w:eastAsiaTheme="minorHAnsi" w:hAnsiTheme="minorHAnsi" w:cs="Mangal"/>
          <w:b/>
          <w:bCs/>
          <w:sz w:val="22"/>
          <w:szCs w:val="20"/>
        </w:rPr>
        <w:t>Cough Syrup</w:t>
      </w:r>
      <w:r w:rsidRPr="00572661">
        <w:rPr>
          <w:rFonts w:asciiTheme="minorHAnsi" w:eastAsiaTheme="minorHAnsi" w:hAnsiTheme="minorHAnsi" w:cs="Mangal"/>
          <w:sz w:val="22"/>
          <w:szCs w:val="20"/>
        </w:rPr>
        <w:t xml:space="preserve">, indicating strong demand for health and pet-related products. Mid-tier performers like </w:t>
      </w:r>
      <w:r w:rsidRPr="00572661">
        <w:rPr>
          <w:rFonts w:asciiTheme="minorHAnsi" w:eastAsiaTheme="minorHAnsi" w:hAnsiTheme="minorHAnsi" w:cs="Mangal"/>
          <w:b/>
          <w:bCs/>
          <w:sz w:val="22"/>
          <w:szCs w:val="20"/>
        </w:rPr>
        <w:t>Toilet Cleaner</w:t>
      </w:r>
      <w:r w:rsidRPr="00572661">
        <w:rPr>
          <w:rFonts w:asciiTheme="minorHAnsi" w:eastAsiaTheme="minorHAnsi" w:hAnsiTheme="minorHAnsi" w:cs="Mangal"/>
          <w:sz w:val="22"/>
          <w:szCs w:val="20"/>
        </w:rPr>
        <w:t xml:space="preserve">, </w:t>
      </w:r>
      <w:r w:rsidRPr="00572661">
        <w:rPr>
          <w:rFonts w:asciiTheme="minorHAnsi" w:eastAsiaTheme="minorHAnsi" w:hAnsiTheme="minorHAnsi" w:cs="Mangal"/>
          <w:b/>
          <w:bCs/>
          <w:sz w:val="22"/>
          <w:szCs w:val="20"/>
        </w:rPr>
        <w:t>Dish Soap</w:t>
      </w:r>
      <w:r w:rsidRPr="00572661">
        <w:rPr>
          <w:rFonts w:asciiTheme="minorHAnsi" w:eastAsiaTheme="minorHAnsi" w:hAnsiTheme="minorHAnsi" w:cs="Mangal"/>
          <w:sz w:val="22"/>
          <w:szCs w:val="20"/>
        </w:rPr>
        <w:t xml:space="preserve">, and </w:t>
      </w:r>
      <w:r w:rsidRPr="00572661">
        <w:rPr>
          <w:rFonts w:asciiTheme="minorHAnsi" w:eastAsiaTheme="minorHAnsi" w:hAnsiTheme="minorHAnsi" w:cs="Mangal"/>
          <w:b/>
          <w:bCs/>
          <w:sz w:val="22"/>
          <w:szCs w:val="20"/>
        </w:rPr>
        <w:t>Bread</w:t>
      </w:r>
      <w:r w:rsidRPr="00572661">
        <w:rPr>
          <w:rFonts w:asciiTheme="minorHAnsi" w:eastAsiaTheme="minorHAnsi" w:hAnsiTheme="minorHAnsi" w:cs="Mangal"/>
          <w:sz w:val="22"/>
          <w:szCs w:val="20"/>
        </w:rPr>
        <w:t xml:space="preserve"> show steady household essentials driving consistent revenue. Lower in the top 10 list, products like </w:t>
      </w:r>
      <w:r w:rsidRPr="00572661">
        <w:rPr>
          <w:rFonts w:asciiTheme="minorHAnsi" w:eastAsiaTheme="minorHAnsi" w:hAnsiTheme="minorHAnsi" w:cs="Mangal"/>
          <w:b/>
          <w:bCs/>
          <w:sz w:val="22"/>
          <w:szCs w:val="20"/>
        </w:rPr>
        <w:t>Baby Food</w:t>
      </w:r>
      <w:r w:rsidRPr="00572661">
        <w:rPr>
          <w:rFonts w:asciiTheme="minorHAnsi" w:eastAsiaTheme="minorHAnsi" w:hAnsiTheme="minorHAnsi" w:cs="Mangal"/>
          <w:sz w:val="22"/>
          <w:szCs w:val="20"/>
        </w:rPr>
        <w:t xml:space="preserve">, </w:t>
      </w:r>
      <w:r w:rsidRPr="00572661">
        <w:rPr>
          <w:rFonts w:asciiTheme="minorHAnsi" w:eastAsiaTheme="minorHAnsi" w:hAnsiTheme="minorHAnsi" w:cs="Mangal"/>
          <w:b/>
          <w:bCs/>
          <w:sz w:val="22"/>
          <w:szCs w:val="20"/>
        </w:rPr>
        <w:t>Onions</w:t>
      </w:r>
      <w:r w:rsidRPr="00572661">
        <w:rPr>
          <w:rFonts w:asciiTheme="minorHAnsi" w:eastAsiaTheme="minorHAnsi" w:hAnsiTheme="minorHAnsi" w:cs="Mangal"/>
          <w:sz w:val="22"/>
          <w:szCs w:val="20"/>
        </w:rPr>
        <w:t xml:space="preserve">, and </w:t>
      </w:r>
      <w:r w:rsidRPr="00572661">
        <w:rPr>
          <w:rFonts w:asciiTheme="minorHAnsi" w:eastAsiaTheme="minorHAnsi" w:hAnsiTheme="minorHAnsi" w:cs="Mangal"/>
          <w:b/>
          <w:bCs/>
          <w:sz w:val="22"/>
          <w:szCs w:val="20"/>
        </w:rPr>
        <w:t>Baby Wipes</w:t>
      </w:r>
      <w:r w:rsidRPr="00572661">
        <w:rPr>
          <w:rFonts w:asciiTheme="minorHAnsi" w:eastAsiaTheme="minorHAnsi" w:hAnsiTheme="minorHAnsi" w:cs="Mangal"/>
          <w:sz w:val="22"/>
          <w:szCs w:val="20"/>
        </w:rPr>
        <w:t xml:space="preserve"> still contribute significantly but generate comparatively lower sales. Overall, the chart shows a strong mix of essential, health, and pet-care items dominating the sales performance.</w:t>
      </w:r>
    </w:p>
    <w:p w:rsidR="00572661" w:rsidRDefault="00572661" w:rsidP="00572661">
      <w:pPr>
        <w:spacing w:before="100" w:beforeAutospacing="1" w:after="100" w:afterAutospacing="1" w:line="240" w:lineRule="auto"/>
        <w:jc w:val="center"/>
        <w:rPr>
          <w:rFonts w:cs="Times New Roman"/>
        </w:rPr>
      </w:pPr>
      <w:r>
        <w:rPr>
          <w:noProof/>
        </w:rPr>
        <w:drawing>
          <wp:inline distT="0" distB="0" distL="0" distR="0" wp14:anchorId="2C163324" wp14:editId="32678D93">
            <wp:extent cx="3102242" cy="3790156"/>
            <wp:effectExtent l="19050" t="57150" r="98425" b="58420"/>
            <wp:docPr id="6" name="Chart 6">
              <a:extLst xmlns:a="http://schemas.openxmlformats.org/drawingml/2006/main">
                <a:ext uri="{FF2B5EF4-FFF2-40B4-BE49-F238E27FC236}">
                  <a16:creationId xmlns="" xmlns:xdr="http://schemas.openxmlformats.org/drawingml/2006/spreadsheetDrawing" xmlns:a16="http://schemas.microsoft.com/office/drawing/2014/main" xmlns:lc="http://schemas.openxmlformats.org/drawingml/2006/lockedCanvas" id="{6125A737-EA21-4D3F-B6F1-8346CDC8FD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8B6477" w:rsidRPr="008B6477" w:rsidRDefault="008B6477" w:rsidP="008B6477">
      <w:pPr>
        <w:pStyle w:val="NormalWeb"/>
        <w:rPr>
          <w:rFonts w:asciiTheme="minorHAnsi" w:eastAsiaTheme="minorHAnsi" w:hAnsiTheme="minorHAnsi" w:cs="Mangal"/>
          <w:b/>
          <w:bCs/>
          <w:sz w:val="36"/>
          <w:szCs w:val="36"/>
        </w:rPr>
      </w:pPr>
      <w:r w:rsidRPr="008B6477">
        <w:rPr>
          <w:rFonts w:asciiTheme="minorHAnsi" w:eastAsiaTheme="minorHAnsi" w:hAnsiTheme="minorHAnsi" w:cs="Mangal"/>
          <w:b/>
          <w:bCs/>
          <w:sz w:val="36"/>
          <w:szCs w:val="36"/>
        </w:rPr>
        <w:t>Payment Methods</w:t>
      </w:r>
    </w:p>
    <w:p w:rsidR="008B6477" w:rsidRPr="008B6477" w:rsidRDefault="008B6477" w:rsidP="008B6477">
      <w:pPr>
        <w:pStyle w:val="NormalWeb"/>
        <w:rPr>
          <w:rFonts w:asciiTheme="minorHAnsi" w:eastAsiaTheme="minorHAnsi" w:hAnsiTheme="minorHAnsi" w:cs="Mangal"/>
          <w:sz w:val="22"/>
          <w:szCs w:val="20"/>
        </w:rPr>
      </w:pPr>
      <w:r w:rsidRPr="008B6477">
        <w:rPr>
          <w:rFonts w:asciiTheme="minorHAnsi" w:eastAsiaTheme="minorHAnsi" w:hAnsiTheme="minorHAnsi" w:cs="Mangal"/>
          <w:sz w:val="22"/>
          <w:szCs w:val="20"/>
        </w:rPr>
        <w:t xml:space="preserve">The </w:t>
      </w:r>
      <w:r w:rsidRPr="008B6477">
        <w:rPr>
          <w:rFonts w:asciiTheme="minorHAnsi" w:eastAsiaTheme="minorHAnsi" w:hAnsiTheme="minorHAnsi" w:cs="Mangal"/>
          <w:b/>
          <w:bCs/>
          <w:sz w:val="22"/>
          <w:szCs w:val="20"/>
        </w:rPr>
        <w:t>Payment Methods</w:t>
      </w:r>
      <w:r w:rsidRPr="008B6477">
        <w:rPr>
          <w:rFonts w:asciiTheme="minorHAnsi" w:eastAsiaTheme="minorHAnsi" w:hAnsiTheme="minorHAnsi" w:cs="Mangal"/>
          <w:sz w:val="22"/>
          <w:szCs w:val="20"/>
        </w:rPr>
        <w:t xml:space="preserve"> chart shows an almost even distribution of how customers prefer to pay for their orders. </w:t>
      </w:r>
      <w:r w:rsidRPr="008B6477">
        <w:rPr>
          <w:rFonts w:asciiTheme="minorHAnsi" w:eastAsiaTheme="minorHAnsi" w:hAnsiTheme="minorHAnsi" w:cs="Mangal"/>
          <w:b/>
          <w:bCs/>
          <w:sz w:val="22"/>
          <w:szCs w:val="20"/>
        </w:rPr>
        <w:t>Card payments lead slightly at 26%</w:t>
      </w:r>
      <w:r w:rsidRPr="008B6477">
        <w:rPr>
          <w:rFonts w:asciiTheme="minorHAnsi" w:eastAsiaTheme="minorHAnsi" w:hAnsiTheme="minorHAnsi" w:cs="Mangal"/>
          <w:sz w:val="22"/>
          <w:szCs w:val="20"/>
        </w:rPr>
        <w:t xml:space="preserve">, indicating they are the most commonly used option. </w:t>
      </w:r>
      <w:r w:rsidRPr="008B6477">
        <w:rPr>
          <w:rFonts w:asciiTheme="minorHAnsi" w:eastAsiaTheme="minorHAnsi" w:hAnsiTheme="minorHAnsi" w:cs="Mangal"/>
          <w:b/>
          <w:bCs/>
          <w:sz w:val="22"/>
          <w:szCs w:val="20"/>
        </w:rPr>
        <w:t>Cash and Wallet payments each account for 25%</w:t>
      </w:r>
      <w:r w:rsidRPr="008B6477">
        <w:rPr>
          <w:rFonts w:asciiTheme="minorHAnsi" w:eastAsiaTheme="minorHAnsi" w:hAnsiTheme="minorHAnsi" w:cs="Mangal"/>
          <w:sz w:val="22"/>
          <w:szCs w:val="20"/>
        </w:rPr>
        <w:t xml:space="preserve">, showing that both traditional and digital wallet methods are equally popular among users. </w:t>
      </w:r>
      <w:r w:rsidRPr="008B6477">
        <w:rPr>
          <w:rFonts w:asciiTheme="minorHAnsi" w:eastAsiaTheme="minorHAnsi" w:hAnsiTheme="minorHAnsi" w:cs="Mangal"/>
          <w:b/>
          <w:bCs/>
          <w:sz w:val="22"/>
          <w:szCs w:val="20"/>
        </w:rPr>
        <w:t>UPI payments stand at 24%</w:t>
      </w:r>
      <w:r w:rsidRPr="008B6477">
        <w:rPr>
          <w:rFonts w:asciiTheme="minorHAnsi" w:eastAsiaTheme="minorHAnsi" w:hAnsiTheme="minorHAnsi" w:cs="Mangal"/>
          <w:sz w:val="22"/>
          <w:szCs w:val="20"/>
        </w:rPr>
        <w:t>, making it another widely adopted method, especially for quick transactions. Overall, the chart highlights that customers use a diverse mix of payment options, with no single method overwhelmingly dominant.</w:t>
      </w:r>
    </w:p>
    <w:p w:rsidR="00927FAC" w:rsidRDefault="008B6477" w:rsidP="008B6477">
      <w:pPr>
        <w:jc w:val="center"/>
      </w:pPr>
      <w:r>
        <w:rPr>
          <w:noProof/>
        </w:rPr>
        <w:drawing>
          <wp:inline distT="0" distB="0" distL="0" distR="0" wp14:anchorId="272C1A1D" wp14:editId="2F3DA63D">
            <wp:extent cx="2623350" cy="1979571"/>
            <wp:effectExtent l="19050" t="57150" r="100965" b="59055"/>
            <wp:docPr id="7" name="Chart 7">
              <a:extLst xmlns:a="http://schemas.openxmlformats.org/drawingml/2006/main">
                <a:ext uri="{FF2B5EF4-FFF2-40B4-BE49-F238E27FC236}">
                  <a16:creationId xmlns="" xmlns:xdr="http://schemas.openxmlformats.org/drawingml/2006/spreadsheetDrawing" xmlns:a16="http://schemas.microsoft.com/office/drawing/2014/main" xmlns:lc="http://schemas.openxmlformats.org/drawingml/2006/lockedCanvas" id="{4B6BDE1C-FC6D-47E6-A285-DF554BB0EC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8B6477" w:rsidRPr="008B6477" w:rsidRDefault="008B6477" w:rsidP="008B6477">
      <w:pPr>
        <w:pStyle w:val="NormalWeb"/>
        <w:rPr>
          <w:rFonts w:asciiTheme="minorHAnsi" w:eastAsiaTheme="minorHAnsi" w:hAnsiTheme="minorHAnsi" w:cs="Mangal"/>
          <w:b/>
          <w:bCs/>
          <w:sz w:val="36"/>
          <w:szCs w:val="36"/>
        </w:rPr>
      </w:pPr>
      <w:r w:rsidRPr="008B6477">
        <w:rPr>
          <w:rFonts w:asciiTheme="minorHAnsi" w:eastAsiaTheme="minorHAnsi" w:hAnsiTheme="minorHAnsi" w:cs="Mangal"/>
          <w:b/>
          <w:bCs/>
          <w:sz w:val="36"/>
          <w:szCs w:val="36"/>
        </w:rPr>
        <w:lastRenderedPageBreak/>
        <w:t>Year-Month Wise Revenue for First and Repeat Order</w:t>
      </w:r>
    </w:p>
    <w:p w:rsidR="008B6477" w:rsidRDefault="008B6477" w:rsidP="008B6477">
      <w:r>
        <w:t xml:space="preserve">The </w:t>
      </w:r>
      <w:r>
        <w:rPr>
          <w:rStyle w:val="Strong"/>
        </w:rPr>
        <w:t>Year-Month Wise Revenue</w:t>
      </w:r>
      <w:r>
        <w:t xml:space="preserve"> chart shows a clear contrast between revenue from first-time customers and repeat customers over time. </w:t>
      </w:r>
      <w:r>
        <w:rPr>
          <w:rStyle w:val="Strong"/>
        </w:rPr>
        <w:t>First order revenue peaks early in 2023</w:t>
      </w:r>
      <w:r>
        <w:t xml:space="preserve"> and then steadily declines throughout 2023 and 2024, indicating fewer new customers joining or reduced initial spending. In contrast, </w:t>
      </w:r>
      <w:r>
        <w:rPr>
          <w:rStyle w:val="Strong"/>
        </w:rPr>
        <w:t>repeat order revenue shows a strong upward trend</w:t>
      </w:r>
      <w:r>
        <w:t>, growing consistently through 2023 and stabilizing at higher levels in 2024. This suggests strong customer retention and loyalty, with existing customers driving most of the revenue. Toward the end of the timeline, both lines show a sharp drop, likely due to incomplete data for the last month. Overall, the chart highlights the business’s reliance on repeat customers for sustained revenue growth.</w:t>
      </w:r>
    </w:p>
    <w:p w:rsidR="008B6477" w:rsidRDefault="008B6477" w:rsidP="008B6477">
      <w:pPr>
        <w:jc w:val="center"/>
      </w:pPr>
      <w:r>
        <w:rPr>
          <w:noProof/>
        </w:rPr>
        <w:drawing>
          <wp:inline distT="0" distB="0" distL="0" distR="0" wp14:anchorId="1B6F6D7D" wp14:editId="441AEC16">
            <wp:extent cx="5200656" cy="2705966"/>
            <wp:effectExtent l="19050" t="57150" r="95250" b="56515"/>
            <wp:docPr id="8" name="Chart 8">
              <a:extLst xmlns:a="http://schemas.openxmlformats.org/drawingml/2006/main">
                <a:ext uri="{FF2B5EF4-FFF2-40B4-BE49-F238E27FC236}">
                  <a16:creationId xmlns="" xmlns:xdr="http://schemas.openxmlformats.org/drawingml/2006/spreadsheetDrawing" xmlns:a16="http://schemas.microsoft.com/office/drawing/2014/main" xmlns:lc="http://schemas.openxmlformats.org/drawingml/2006/lockedCanvas" id="{E1406632-471A-4223-80B7-EBC1DAC6D6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647E5F" w:rsidRPr="00647E5F" w:rsidRDefault="00647E5F" w:rsidP="008B6477">
      <w:pPr>
        <w:rPr>
          <w:b/>
          <w:bCs/>
          <w:sz w:val="36"/>
          <w:szCs w:val="36"/>
        </w:rPr>
      </w:pPr>
      <w:r w:rsidRPr="00647E5F">
        <w:rPr>
          <w:b/>
          <w:bCs/>
          <w:sz w:val="36"/>
          <w:szCs w:val="36"/>
        </w:rPr>
        <w:t>Margin Analysis</w:t>
      </w:r>
    </w:p>
    <w:p w:rsidR="008B6477" w:rsidRDefault="00647E5F" w:rsidP="008B6477">
      <w:r>
        <w:t xml:space="preserve">The </w:t>
      </w:r>
      <w:r>
        <w:rPr>
          <w:rStyle w:val="Strong"/>
        </w:rPr>
        <w:t>Margin Analysis</w:t>
      </w:r>
      <w:r>
        <w:t xml:space="preserve"> chart compares revenue, gross margin, and margin percentage across different product categories. Categories like </w:t>
      </w:r>
      <w:r>
        <w:rPr>
          <w:rStyle w:val="Strong"/>
        </w:rPr>
        <w:t>Dairy &amp; Breakfast</w:t>
      </w:r>
      <w:r>
        <w:t xml:space="preserve">, </w:t>
      </w:r>
      <w:r>
        <w:rPr>
          <w:rStyle w:val="Strong"/>
        </w:rPr>
        <w:t>Pet Care</w:t>
      </w:r>
      <w:r>
        <w:t xml:space="preserve">, and </w:t>
      </w:r>
      <w:r>
        <w:rPr>
          <w:rStyle w:val="Strong"/>
        </w:rPr>
        <w:t>Pharmacy</w:t>
      </w:r>
      <w:r>
        <w:t xml:space="preserve"> generate high revenue, with Pet Care also showing one of the strongest margin percentages. </w:t>
      </w:r>
      <w:r>
        <w:rPr>
          <w:rStyle w:val="Strong"/>
        </w:rPr>
        <w:t>Snacks &amp; Munchies</w:t>
      </w:r>
      <w:r>
        <w:t xml:space="preserve"> and </w:t>
      </w:r>
      <w:r>
        <w:rPr>
          <w:rStyle w:val="Strong"/>
        </w:rPr>
        <w:t>Personal Care</w:t>
      </w:r>
      <w:r>
        <w:t xml:space="preserve"> have relatively high margin percentages despite moderate revenue, indicating strong profitability. On the other hand, </w:t>
      </w:r>
      <w:r>
        <w:rPr>
          <w:rStyle w:val="Strong"/>
        </w:rPr>
        <w:t>Grocery &amp; Staples</w:t>
      </w:r>
      <w:r>
        <w:t xml:space="preserve"> and </w:t>
      </w:r>
      <w:r>
        <w:rPr>
          <w:rStyle w:val="Strong"/>
        </w:rPr>
        <w:t>Fruits &amp; Vegetables</w:t>
      </w:r>
      <w:r>
        <w:t xml:space="preserve"> show lower margin percentages, reflecting the typically low-margin nature of essential goods. Overall, the chart highlights that while some categories drive revenue, others contribute more to profit, creating a balanced business model.</w:t>
      </w:r>
    </w:p>
    <w:p w:rsidR="00647E5F" w:rsidRDefault="00647E5F" w:rsidP="00647E5F">
      <w:pPr>
        <w:jc w:val="center"/>
      </w:pPr>
      <w:r>
        <w:rPr>
          <w:noProof/>
        </w:rPr>
        <w:drawing>
          <wp:inline distT="0" distB="0" distL="0" distR="0" wp14:anchorId="0CF94EA4" wp14:editId="715DE969">
            <wp:extent cx="5155770" cy="2513468"/>
            <wp:effectExtent l="19050" t="57150" r="102235" b="58420"/>
            <wp:docPr id="10" name="Chart 10">
              <a:extLst xmlns:a="http://schemas.openxmlformats.org/drawingml/2006/main">
                <a:ext uri="{FF2B5EF4-FFF2-40B4-BE49-F238E27FC236}">
                  <a16:creationId xmlns="" xmlns:xdr="http://schemas.openxmlformats.org/drawingml/2006/spreadsheetDrawing" xmlns:a16="http://schemas.microsoft.com/office/drawing/2014/main" xmlns:lc="http://schemas.openxmlformats.org/drawingml/2006/lockedCanvas" id="{00000000-0008-0000-08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647E5F" w:rsidRPr="00647E5F" w:rsidRDefault="00647E5F" w:rsidP="00647E5F">
      <w:pPr>
        <w:rPr>
          <w:b/>
          <w:bCs/>
          <w:sz w:val="36"/>
          <w:szCs w:val="36"/>
        </w:rPr>
      </w:pPr>
      <w:r w:rsidRPr="00647E5F">
        <w:rPr>
          <w:b/>
          <w:bCs/>
          <w:sz w:val="36"/>
          <w:szCs w:val="36"/>
        </w:rPr>
        <w:lastRenderedPageBreak/>
        <w:t>Delivery Status</w:t>
      </w:r>
    </w:p>
    <w:p w:rsidR="00647E5F" w:rsidRDefault="00647E5F" w:rsidP="00647E5F">
      <w:r>
        <w:t xml:space="preserve">The </w:t>
      </w:r>
      <w:r>
        <w:rPr>
          <w:rStyle w:val="Strong"/>
        </w:rPr>
        <w:t>Delivery Status</w:t>
      </w:r>
      <w:r>
        <w:t xml:space="preserve"> chart compares the average delivery distance with the average delivery time across three delivery categories. </w:t>
      </w:r>
      <w:r>
        <w:rPr>
          <w:rStyle w:val="Strong"/>
        </w:rPr>
        <w:t>On-time deliveries</w:t>
      </w:r>
      <w:r>
        <w:t xml:space="preserve"> occur at an average distance of 2.72 km with almost no delay (0.01 minutes), indicating efficient service for nearby orders. </w:t>
      </w:r>
      <w:r>
        <w:rPr>
          <w:rStyle w:val="Strong"/>
        </w:rPr>
        <w:t>Significantly delayed deliveries</w:t>
      </w:r>
      <w:r>
        <w:t xml:space="preserve"> have a slightly shorter distance (2.69 km) but the highest delivery time of </w:t>
      </w:r>
      <w:r>
        <w:rPr>
          <w:rStyle w:val="Strong"/>
        </w:rPr>
        <w:t>22.84 minutes</w:t>
      </w:r>
      <w:r>
        <w:t xml:space="preserve">, suggesting operational or traffic-related issues rather than distance. </w:t>
      </w:r>
      <w:r>
        <w:rPr>
          <w:rStyle w:val="Strong"/>
        </w:rPr>
        <w:t>Slightly delayed deliveries</w:t>
      </w:r>
      <w:r>
        <w:t xml:space="preserve"> occur at the longest distance (2.74 km) with a moderate delay of </w:t>
      </w:r>
      <w:r>
        <w:rPr>
          <w:rStyle w:val="Strong"/>
        </w:rPr>
        <w:t>10.52 minutes</w:t>
      </w:r>
      <w:r>
        <w:t>, showing that distance contributes to minor delays. Overall, delays are influenced more by operational challenges than distance alone.</w:t>
      </w:r>
    </w:p>
    <w:p w:rsidR="00647E5F" w:rsidRDefault="00647E5F" w:rsidP="00647E5F">
      <w:pPr>
        <w:jc w:val="center"/>
      </w:pPr>
      <w:r>
        <w:rPr>
          <w:noProof/>
        </w:rPr>
        <w:drawing>
          <wp:inline distT="0" distB="0" distL="0" distR="0" wp14:anchorId="760D42C5" wp14:editId="7EABFAB2">
            <wp:extent cx="5594350" cy="2927350"/>
            <wp:effectExtent l="19050" t="57150" r="101600" b="63500"/>
            <wp:docPr id="11" name="Chart 11">
              <a:extLst xmlns:a="http://schemas.openxmlformats.org/drawingml/2006/main">
                <a:ext uri="{FF2B5EF4-FFF2-40B4-BE49-F238E27FC236}">
                  <a16:creationId xmlns="" xmlns:xdr="http://schemas.openxmlformats.org/drawingml/2006/spreadsheetDrawing" xmlns:a16="http://schemas.microsoft.com/office/drawing/2014/main" xmlns:lc="http://schemas.openxmlformats.org/drawingml/2006/lockedCanvas" id="{DF324EC5-16F9-438A-AD16-533287C0A1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647E5F" w:rsidRPr="00927FAC" w:rsidRDefault="00647E5F" w:rsidP="00647E5F">
      <w:pPr>
        <w:jc w:val="center"/>
      </w:pPr>
      <w:bookmarkStart w:id="0" w:name="_GoBack"/>
      <w:bookmarkEnd w:id="0"/>
    </w:p>
    <w:sectPr w:rsidR="00647E5F" w:rsidRPr="00927FAC" w:rsidSect="005354B2">
      <w:pgSz w:w="12240" w:h="15840"/>
      <w:pgMar w:top="709" w:right="900"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4B2"/>
    <w:rsid w:val="005354B2"/>
    <w:rsid w:val="00572661"/>
    <w:rsid w:val="00647E5F"/>
    <w:rsid w:val="008B6477"/>
    <w:rsid w:val="00927FAC"/>
    <w:rsid w:val="00CC0FC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0A21B6-DFA5-4C1E-9625-7CF2F170F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link w:val="Heading1Char"/>
    <w:uiPriority w:val="9"/>
    <w:qFormat/>
    <w:rsid w:val="005354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354B2"/>
    <w:rPr>
      <w:b/>
      <w:bCs/>
    </w:rPr>
  </w:style>
  <w:style w:type="character" w:customStyle="1" w:styleId="Heading1Char">
    <w:name w:val="Heading 1 Char"/>
    <w:basedOn w:val="DefaultParagraphFont"/>
    <w:link w:val="Heading1"/>
    <w:uiPriority w:val="9"/>
    <w:rsid w:val="005354B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354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2266">
      <w:bodyDiv w:val="1"/>
      <w:marLeft w:val="0"/>
      <w:marRight w:val="0"/>
      <w:marTop w:val="0"/>
      <w:marBottom w:val="0"/>
      <w:divBdr>
        <w:top w:val="none" w:sz="0" w:space="0" w:color="auto"/>
        <w:left w:val="none" w:sz="0" w:space="0" w:color="auto"/>
        <w:bottom w:val="none" w:sz="0" w:space="0" w:color="auto"/>
        <w:right w:val="none" w:sz="0" w:space="0" w:color="auto"/>
      </w:divBdr>
      <w:divsChild>
        <w:div w:id="301010181">
          <w:marLeft w:val="0"/>
          <w:marRight w:val="0"/>
          <w:marTop w:val="0"/>
          <w:marBottom w:val="0"/>
          <w:divBdr>
            <w:top w:val="none" w:sz="0" w:space="0" w:color="auto"/>
            <w:left w:val="none" w:sz="0" w:space="0" w:color="auto"/>
            <w:bottom w:val="none" w:sz="0" w:space="0" w:color="auto"/>
            <w:right w:val="none" w:sz="0" w:space="0" w:color="auto"/>
          </w:divBdr>
          <w:divsChild>
            <w:div w:id="760493474">
              <w:marLeft w:val="0"/>
              <w:marRight w:val="0"/>
              <w:marTop w:val="0"/>
              <w:marBottom w:val="0"/>
              <w:divBdr>
                <w:top w:val="none" w:sz="0" w:space="0" w:color="auto"/>
                <w:left w:val="none" w:sz="0" w:space="0" w:color="auto"/>
                <w:bottom w:val="none" w:sz="0" w:space="0" w:color="auto"/>
                <w:right w:val="none" w:sz="0" w:space="0" w:color="auto"/>
              </w:divBdr>
              <w:divsChild>
                <w:div w:id="1185293199">
                  <w:marLeft w:val="0"/>
                  <w:marRight w:val="0"/>
                  <w:marTop w:val="0"/>
                  <w:marBottom w:val="0"/>
                  <w:divBdr>
                    <w:top w:val="none" w:sz="0" w:space="0" w:color="auto"/>
                    <w:left w:val="none" w:sz="0" w:space="0" w:color="auto"/>
                    <w:bottom w:val="none" w:sz="0" w:space="0" w:color="auto"/>
                    <w:right w:val="none" w:sz="0" w:space="0" w:color="auto"/>
                  </w:divBdr>
                  <w:divsChild>
                    <w:div w:id="1685597025">
                      <w:marLeft w:val="0"/>
                      <w:marRight w:val="0"/>
                      <w:marTop w:val="0"/>
                      <w:marBottom w:val="0"/>
                      <w:divBdr>
                        <w:top w:val="none" w:sz="0" w:space="0" w:color="auto"/>
                        <w:left w:val="none" w:sz="0" w:space="0" w:color="auto"/>
                        <w:bottom w:val="none" w:sz="0" w:space="0" w:color="auto"/>
                        <w:right w:val="none" w:sz="0" w:space="0" w:color="auto"/>
                      </w:divBdr>
                      <w:divsChild>
                        <w:div w:id="1258054072">
                          <w:marLeft w:val="0"/>
                          <w:marRight w:val="0"/>
                          <w:marTop w:val="0"/>
                          <w:marBottom w:val="0"/>
                          <w:divBdr>
                            <w:top w:val="none" w:sz="0" w:space="0" w:color="auto"/>
                            <w:left w:val="none" w:sz="0" w:space="0" w:color="auto"/>
                            <w:bottom w:val="none" w:sz="0" w:space="0" w:color="auto"/>
                            <w:right w:val="none" w:sz="0" w:space="0" w:color="auto"/>
                          </w:divBdr>
                          <w:divsChild>
                            <w:div w:id="2512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032382">
      <w:bodyDiv w:val="1"/>
      <w:marLeft w:val="0"/>
      <w:marRight w:val="0"/>
      <w:marTop w:val="0"/>
      <w:marBottom w:val="0"/>
      <w:divBdr>
        <w:top w:val="none" w:sz="0" w:space="0" w:color="auto"/>
        <w:left w:val="none" w:sz="0" w:space="0" w:color="auto"/>
        <w:bottom w:val="none" w:sz="0" w:space="0" w:color="auto"/>
        <w:right w:val="none" w:sz="0" w:space="0" w:color="auto"/>
      </w:divBdr>
    </w:div>
    <w:div w:id="1225217270">
      <w:bodyDiv w:val="1"/>
      <w:marLeft w:val="0"/>
      <w:marRight w:val="0"/>
      <w:marTop w:val="0"/>
      <w:marBottom w:val="0"/>
      <w:divBdr>
        <w:top w:val="none" w:sz="0" w:space="0" w:color="auto"/>
        <w:left w:val="none" w:sz="0" w:space="0" w:color="auto"/>
        <w:bottom w:val="none" w:sz="0" w:space="0" w:color="auto"/>
        <w:right w:val="none" w:sz="0" w:space="0" w:color="auto"/>
      </w:divBdr>
      <w:divsChild>
        <w:div w:id="746806891">
          <w:marLeft w:val="0"/>
          <w:marRight w:val="0"/>
          <w:marTop w:val="0"/>
          <w:marBottom w:val="0"/>
          <w:divBdr>
            <w:top w:val="none" w:sz="0" w:space="0" w:color="auto"/>
            <w:left w:val="none" w:sz="0" w:space="0" w:color="auto"/>
            <w:bottom w:val="none" w:sz="0" w:space="0" w:color="auto"/>
            <w:right w:val="none" w:sz="0" w:space="0" w:color="auto"/>
          </w:divBdr>
          <w:divsChild>
            <w:div w:id="336885950">
              <w:marLeft w:val="0"/>
              <w:marRight w:val="0"/>
              <w:marTop w:val="0"/>
              <w:marBottom w:val="0"/>
              <w:divBdr>
                <w:top w:val="none" w:sz="0" w:space="0" w:color="auto"/>
                <w:left w:val="none" w:sz="0" w:space="0" w:color="auto"/>
                <w:bottom w:val="none" w:sz="0" w:space="0" w:color="auto"/>
                <w:right w:val="none" w:sz="0" w:space="0" w:color="auto"/>
              </w:divBdr>
              <w:divsChild>
                <w:div w:id="1391078887">
                  <w:marLeft w:val="0"/>
                  <w:marRight w:val="0"/>
                  <w:marTop w:val="0"/>
                  <w:marBottom w:val="0"/>
                  <w:divBdr>
                    <w:top w:val="none" w:sz="0" w:space="0" w:color="auto"/>
                    <w:left w:val="none" w:sz="0" w:space="0" w:color="auto"/>
                    <w:bottom w:val="none" w:sz="0" w:space="0" w:color="auto"/>
                    <w:right w:val="none" w:sz="0" w:space="0" w:color="auto"/>
                  </w:divBdr>
                  <w:divsChild>
                    <w:div w:id="1039821824">
                      <w:marLeft w:val="0"/>
                      <w:marRight w:val="0"/>
                      <w:marTop w:val="0"/>
                      <w:marBottom w:val="0"/>
                      <w:divBdr>
                        <w:top w:val="none" w:sz="0" w:space="0" w:color="auto"/>
                        <w:left w:val="none" w:sz="0" w:space="0" w:color="auto"/>
                        <w:bottom w:val="none" w:sz="0" w:space="0" w:color="auto"/>
                        <w:right w:val="none" w:sz="0" w:space="0" w:color="auto"/>
                      </w:divBdr>
                      <w:divsChild>
                        <w:div w:id="938026595">
                          <w:marLeft w:val="0"/>
                          <w:marRight w:val="0"/>
                          <w:marTop w:val="0"/>
                          <w:marBottom w:val="0"/>
                          <w:divBdr>
                            <w:top w:val="none" w:sz="0" w:space="0" w:color="auto"/>
                            <w:left w:val="none" w:sz="0" w:space="0" w:color="auto"/>
                            <w:bottom w:val="none" w:sz="0" w:space="0" w:color="auto"/>
                            <w:right w:val="none" w:sz="0" w:space="0" w:color="auto"/>
                          </w:divBdr>
                          <w:divsChild>
                            <w:div w:id="113891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878683">
      <w:bodyDiv w:val="1"/>
      <w:marLeft w:val="0"/>
      <w:marRight w:val="0"/>
      <w:marTop w:val="0"/>
      <w:marBottom w:val="0"/>
      <w:divBdr>
        <w:top w:val="none" w:sz="0" w:space="0" w:color="auto"/>
        <w:left w:val="none" w:sz="0" w:space="0" w:color="auto"/>
        <w:bottom w:val="none" w:sz="0" w:space="0" w:color="auto"/>
        <w:right w:val="none" w:sz="0" w:space="0" w:color="auto"/>
      </w:divBdr>
      <w:divsChild>
        <w:div w:id="1014453753">
          <w:marLeft w:val="0"/>
          <w:marRight w:val="0"/>
          <w:marTop w:val="0"/>
          <w:marBottom w:val="0"/>
          <w:divBdr>
            <w:top w:val="none" w:sz="0" w:space="0" w:color="auto"/>
            <w:left w:val="none" w:sz="0" w:space="0" w:color="auto"/>
            <w:bottom w:val="none" w:sz="0" w:space="0" w:color="auto"/>
            <w:right w:val="none" w:sz="0" w:space="0" w:color="auto"/>
          </w:divBdr>
          <w:divsChild>
            <w:div w:id="899291246">
              <w:marLeft w:val="0"/>
              <w:marRight w:val="0"/>
              <w:marTop w:val="0"/>
              <w:marBottom w:val="0"/>
              <w:divBdr>
                <w:top w:val="none" w:sz="0" w:space="0" w:color="auto"/>
                <w:left w:val="none" w:sz="0" w:space="0" w:color="auto"/>
                <w:bottom w:val="none" w:sz="0" w:space="0" w:color="auto"/>
                <w:right w:val="none" w:sz="0" w:space="0" w:color="auto"/>
              </w:divBdr>
              <w:divsChild>
                <w:div w:id="53431356">
                  <w:marLeft w:val="0"/>
                  <w:marRight w:val="0"/>
                  <w:marTop w:val="0"/>
                  <w:marBottom w:val="0"/>
                  <w:divBdr>
                    <w:top w:val="none" w:sz="0" w:space="0" w:color="auto"/>
                    <w:left w:val="none" w:sz="0" w:space="0" w:color="auto"/>
                    <w:bottom w:val="none" w:sz="0" w:space="0" w:color="auto"/>
                    <w:right w:val="none" w:sz="0" w:space="0" w:color="auto"/>
                  </w:divBdr>
                  <w:divsChild>
                    <w:div w:id="881984532">
                      <w:marLeft w:val="0"/>
                      <w:marRight w:val="0"/>
                      <w:marTop w:val="0"/>
                      <w:marBottom w:val="0"/>
                      <w:divBdr>
                        <w:top w:val="none" w:sz="0" w:space="0" w:color="auto"/>
                        <w:left w:val="none" w:sz="0" w:space="0" w:color="auto"/>
                        <w:bottom w:val="none" w:sz="0" w:space="0" w:color="auto"/>
                        <w:right w:val="none" w:sz="0" w:space="0" w:color="auto"/>
                      </w:divBdr>
                      <w:divsChild>
                        <w:div w:id="137037295">
                          <w:marLeft w:val="0"/>
                          <w:marRight w:val="0"/>
                          <w:marTop w:val="0"/>
                          <w:marBottom w:val="0"/>
                          <w:divBdr>
                            <w:top w:val="none" w:sz="0" w:space="0" w:color="auto"/>
                            <w:left w:val="none" w:sz="0" w:space="0" w:color="auto"/>
                            <w:bottom w:val="none" w:sz="0" w:space="0" w:color="auto"/>
                            <w:right w:val="none" w:sz="0" w:space="0" w:color="auto"/>
                          </w:divBdr>
                          <w:divsChild>
                            <w:div w:id="197343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855396">
      <w:bodyDiv w:val="1"/>
      <w:marLeft w:val="0"/>
      <w:marRight w:val="0"/>
      <w:marTop w:val="0"/>
      <w:marBottom w:val="0"/>
      <w:divBdr>
        <w:top w:val="none" w:sz="0" w:space="0" w:color="auto"/>
        <w:left w:val="none" w:sz="0" w:space="0" w:color="auto"/>
        <w:bottom w:val="none" w:sz="0" w:space="0" w:color="auto"/>
        <w:right w:val="none" w:sz="0" w:space="0" w:color="auto"/>
      </w:divBdr>
      <w:divsChild>
        <w:div w:id="1402481793">
          <w:marLeft w:val="0"/>
          <w:marRight w:val="0"/>
          <w:marTop w:val="0"/>
          <w:marBottom w:val="0"/>
          <w:divBdr>
            <w:top w:val="none" w:sz="0" w:space="0" w:color="auto"/>
            <w:left w:val="none" w:sz="0" w:space="0" w:color="auto"/>
            <w:bottom w:val="none" w:sz="0" w:space="0" w:color="auto"/>
            <w:right w:val="none" w:sz="0" w:space="0" w:color="auto"/>
          </w:divBdr>
          <w:divsChild>
            <w:div w:id="44646930">
              <w:marLeft w:val="0"/>
              <w:marRight w:val="0"/>
              <w:marTop w:val="0"/>
              <w:marBottom w:val="0"/>
              <w:divBdr>
                <w:top w:val="none" w:sz="0" w:space="0" w:color="auto"/>
                <w:left w:val="none" w:sz="0" w:space="0" w:color="auto"/>
                <w:bottom w:val="none" w:sz="0" w:space="0" w:color="auto"/>
                <w:right w:val="none" w:sz="0" w:space="0" w:color="auto"/>
              </w:divBdr>
              <w:divsChild>
                <w:div w:id="1494296679">
                  <w:marLeft w:val="0"/>
                  <w:marRight w:val="0"/>
                  <w:marTop w:val="0"/>
                  <w:marBottom w:val="0"/>
                  <w:divBdr>
                    <w:top w:val="none" w:sz="0" w:space="0" w:color="auto"/>
                    <w:left w:val="none" w:sz="0" w:space="0" w:color="auto"/>
                    <w:bottom w:val="none" w:sz="0" w:space="0" w:color="auto"/>
                    <w:right w:val="none" w:sz="0" w:space="0" w:color="auto"/>
                  </w:divBdr>
                  <w:divsChild>
                    <w:div w:id="1679582561">
                      <w:marLeft w:val="0"/>
                      <w:marRight w:val="0"/>
                      <w:marTop w:val="0"/>
                      <w:marBottom w:val="0"/>
                      <w:divBdr>
                        <w:top w:val="none" w:sz="0" w:space="0" w:color="auto"/>
                        <w:left w:val="none" w:sz="0" w:space="0" w:color="auto"/>
                        <w:bottom w:val="none" w:sz="0" w:space="0" w:color="auto"/>
                        <w:right w:val="none" w:sz="0" w:space="0" w:color="auto"/>
                      </w:divBdr>
                      <w:divsChild>
                        <w:div w:id="26107429">
                          <w:marLeft w:val="0"/>
                          <w:marRight w:val="0"/>
                          <w:marTop w:val="0"/>
                          <w:marBottom w:val="0"/>
                          <w:divBdr>
                            <w:top w:val="none" w:sz="0" w:space="0" w:color="auto"/>
                            <w:left w:val="none" w:sz="0" w:space="0" w:color="auto"/>
                            <w:bottom w:val="none" w:sz="0" w:space="0" w:color="auto"/>
                            <w:right w:val="none" w:sz="0" w:space="0" w:color="auto"/>
                          </w:divBdr>
                          <w:divsChild>
                            <w:div w:id="14674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chart" Target="charts/chart7.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oleObject" Target="file:///D:\data%20analytics\Projects\Excel%20Blinkit\blinkit_dataset.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D:\data%20analytics\Projects\Excel%20Blinkit\blinkit_datase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ata%20analytics\Projects\Excel%20Blinkit\blinkit_datase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ata%20analytics\Projects\Excel%20Blinkit\blinkit_datase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data%20analytics\Projects\Excel%20Blinkit\blinkit_datase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data%20analytics\Projects\Excel%20Blinkit\blinkit_datase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data%20analytics\Projects\Excel%20Blinkit\blinkit_datase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data%20analytics\Projects\Excel%20Blinkit\blinkit_datase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data%20analytics\Projects\Excel%20Blinkit\blinkit_dataset.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[blinkit_dataset.xlsx]Product Pivot!PivotTable4</c:name>
    <c:fmtId val="-1"/>
  </c:pivotSource>
  <c:chart>
    <c:autoTitleDeleted val="1"/>
    <c:pivotFmts>
      <c:pivotFmt>
        <c:idx val="0"/>
        <c:dLbl>
          <c:idx val="0"/>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pivotFmt>
      <c:pivotFmt>
        <c:idx val="2"/>
      </c:pivotFmt>
      <c:pivotFmt>
        <c:idx val="3"/>
      </c:pivotFmt>
      <c:pivotFmt>
        <c:idx val="4"/>
      </c:pivotFmt>
      <c:pivotFmt>
        <c:idx val="5"/>
      </c:pivotFmt>
      <c:pivotFmt>
        <c:idx val="6"/>
      </c:pivotFmt>
      <c:pivotFmt>
        <c:idx val="7"/>
      </c:pivotFmt>
      <c:pivotFmt>
        <c:idx val="8"/>
      </c:pivotFmt>
      <c:pivotFmt>
        <c:idx val="9"/>
      </c:pivotFmt>
      <c:pivotFmt>
        <c:idx val="10"/>
      </c:pivotFmt>
      <c:pivotFmt>
        <c:idx val="11"/>
      </c:pivotFmt>
      <c:pivotFmt>
        <c:idx val="12"/>
        <c:dLbl>
          <c:idx val="0"/>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3"/>
      </c:pivotFmt>
      <c:pivotFmt>
        <c:idx val="14"/>
      </c:pivotFmt>
      <c:pivotFmt>
        <c:idx val="15"/>
      </c:pivotFmt>
      <c:pivotFmt>
        <c:idx val="16"/>
      </c:pivotFmt>
      <c:pivotFmt>
        <c:idx val="17"/>
      </c:pivotFmt>
      <c:pivotFmt>
        <c:idx val="18"/>
      </c:pivotFmt>
      <c:pivotFmt>
        <c:idx val="19"/>
      </c:pivotFmt>
      <c:pivotFmt>
        <c:idx val="20"/>
      </c:pivotFmt>
      <c:pivotFmt>
        <c:idx val="21"/>
      </c:pivotFmt>
      <c:pivotFmt>
        <c:idx val="22"/>
      </c:pivotFmt>
      <c:pivotFmt>
        <c:idx val="23"/>
      </c:pivotFmt>
      <c:pivotFmt>
        <c:idx val="24"/>
        <c:dLbl>
          <c:idx val="0"/>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5"/>
      </c:pivotFmt>
      <c:pivotFmt>
        <c:idx val="26"/>
      </c:pivotFmt>
      <c:pivotFmt>
        <c:idx val="27"/>
      </c:pivotFmt>
      <c:pivotFmt>
        <c:idx val="28"/>
      </c:pivotFmt>
      <c:pivotFmt>
        <c:idx val="29"/>
      </c:pivotFmt>
      <c:pivotFmt>
        <c:idx val="30"/>
      </c:pivotFmt>
      <c:pivotFmt>
        <c:idx val="31"/>
      </c:pivotFmt>
      <c:pivotFmt>
        <c:idx val="32"/>
      </c:pivotFmt>
      <c:pivotFmt>
        <c:idx val="33"/>
      </c:pivotFmt>
      <c:pivotFmt>
        <c:idx val="34"/>
      </c:pivotFmt>
      <c:pivotFmt>
        <c:idx val="35"/>
      </c:pivotFmt>
      <c:pivotFmt>
        <c:idx val="36"/>
        <c:dLbl>
          <c:idx val="0"/>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7"/>
      </c:pivotFmt>
      <c:pivotFmt>
        <c:idx val="38"/>
      </c:pivotFmt>
      <c:pivotFmt>
        <c:idx val="39"/>
      </c:pivotFmt>
      <c:pivotFmt>
        <c:idx val="40"/>
      </c:pivotFmt>
      <c:pivotFmt>
        <c:idx val="41"/>
      </c:pivotFmt>
      <c:pivotFmt>
        <c:idx val="42"/>
      </c:pivotFmt>
      <c:pivotFmt>
        <c:idx val="43"/>
      </c:pivotFmt>
      <c:pivotFmt>
        <c:idx val="44"/>
      </c:pivotFmt>
      <c:pivotFmt>
        <c:idx val="45"/>
      </c:pivotFmt>
      <c:pivotFmt>
        <c:idx val="46"/>
      </c:pivotFmt>
      <c:pivotFmt>
        <c:idx val="47"/>
      </c:pivotFmt>
      <c:pivotFmt>
        <c:idx val="4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solidFill>
                      <a:schemeClr val="accent1">
                        <a:shade val="15000"/>
                      </a:schemeClr>
                    </a:solidFill>
                  </a:ln>
                  <a:solidFill>
                    <a:schemeClr val="tx1"/>
                  </a:solidFill>
                  <a:latin typeface="+mn-lt"/>
                  <a:ea typeface="+mn-ea"/>
                  <a:cs typeface="+mn-cs"/>
                </a:defRPr>
              </a:pPr>
              <a:endParaRPr lang="en-US"/>
            </a:p>
          </c:txPr>
          <c:dLblPos val="ctr"/>
          <c:showLegendKey val="0"/>
          <c:showVal val="0"/>
          <c:showCatName val="0"/>
          <c:showSerName val="0"/>
          <c:showPercent val="1"/>
          <c:showBubbleSize val="0"/>
          <c:extLst xmlns:c16r2="http://schemas.microsoft.com/office/drawing/2015/06/chart">
            <c:ext xmlns:c15="http://schemas.microsoft.com/office/drawing/2012/chart" uri="{CE6537A1-D6FC-4f65-9D91-7224C49458BB}"/>
          </c:extLst>
        </c:dLbl>
      </c:pivotFmt>
      <c:pivotFmt>
        <c:idx val="4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5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pivotFmt>
      <c:pivotFmt>
        <c:idx val="51"/>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p3d/>
        </c:spPr>
      </c:pivotFmt>
      <c:pivotFmt>
        <c:idx val="5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pivotFmt>
      <c:pivotFmt>
        <c:idx val="53"/>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sp3d/>
        </c:spPr>
      </c:pivotFmt>
      <c:pivotFmt>
        <c:idx val="5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sp3d/>
        </c:spPr>
      </c:pivotFmt>
      <c:pivotFmt>
        <c:idx val="55"/>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sp3d/>
        </c:spPr>
      </c:pivotFmt>
      <c:pivotFmt>
        <c:idx val="56"/>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sp3d/>
        </c:spPr>
      </c:pivotFmt>
      <c:pivotFmt>
        <c:idx val="57"/>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sp3d/>
        </c:spPr>
      </c:pivotFmt>
      <c:pivotFmt>
        <c:idx val="58"/>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sp3d/>
        </c:spPr>
      </c:pivotFmt>
      <c:pivotFmt>
        <c:idx val="59"/>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sp3d/>
        </c:spPr>
      </c:pivotFmt>
      <c:pivotFmt>
        <c:idx val="6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solidFill>
                      <a:schemeClr val="accent1">
                        <a:shade val="15000"/>
                      </a:schemeClr>
                    </a:solidFill>
                  </a:ln>
                  <a:solidFill>
                    <a:schemeClr val="tx1"/>
                  </a:solidFill>
                  <a:latin typeface="+mn-lt"/>
                  <a:ea typeface="+mn-ea"/>
                  <a:cs typeface="+mn-cs"/>
                </a:defRPr>
              </a:pPr>
              <a:endParaRPr lang="en-US"/>
            </a:p>
          </c:txPr>
          <c:dLblPos val="ctr"/>
          <c:showLegendKey val="0"/>
          <c:showVal val="0"/>
          <c:showCatName val="0"/>
          <c:showSerName val="0"/>
          <c:showPercent val="1"/>
          <c:showBubbleSize val="0"/>
          <c:extLst xmlns:c16r2="http://schemas.microsoft.com/office/drawing/2015/06/chart">
            <c:ext xmlns:c15="http://schemas.microsoft.com/office/drawing/2012/chart" uri="{CE6537A1-D6FC-4f65-9D91-7224C49458BB}"/>
          </c:extLst>
        </c:dLbl>
      </c:pivotFmt>
      <c:pivotFmt>
        <c:idx val="6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6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6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6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6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6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6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6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6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7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7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7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solidFill>
                      <a:schemeClr val="accent1">
                        <a:shade val="15000"/>
                      </a:schemeClr>
                    </a:solidFill>
                  </a:ln>
                  <a:solidFill>
                    <a:schemeClr val="tx1"/>
                  </a:solidFill>
                  <a:latin typeface="+mn-lt"/>
                  <a:ea typeface="+mn-ea"/>
                  <a:cs typeface="+mn-cs"/>
                </a:defRPr>
              </a:pPr>
              <a:endParaRPr lang="en-US"/>
            </a:p>
          </c:txPr>
          <c:dLblPos val="ctr"/>
          <c:showLegendKey val="0"/>
          <c:showVal val="0"/>
          <c:showCatName val="0"/>
          <c:showSerName val="0"/>
          <c:showPercent val="1"/>
          <c:showBubbleSize val="0"/>
          <c:extLst xmlns:c16r2="http://schemas.microsoft.com/office/drawing/2015/06/chart">
            <c:ext xmlns:c15="http://schemas.microsoft.com/office/drawing/2012/chart" uri="{CE6537A1-D6FC-4f65-9D91-7224C49458BB}"/>
          </c:extLst>
        </c:dLbl>
      </c:pivotFmt>
      <c:pivotFmt>
        <c:idx val="7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7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7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7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7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7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7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8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8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8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8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8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solidFill>
                      <a:schemeClr val="accent1">
                        <a:shade val="15000"/>
                      </a:schemeClr>
                    </a:solidFill>
                  </a:ln>
                  <a:solidFill>
                    <a:schemeClr val="tx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8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8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8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8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8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9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9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9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9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9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9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9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solidFill>
                      <a:schemeClr val="accent1">
                        <a:shade val="15000"/>
                      </a:schemeClr>
                    </a:solidFill>
                  </a:ln>
                  <a:solidFill>
                    <a:schemeClr val="tx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9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9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9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0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0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0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0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0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0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0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0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0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solidFill>
                      <a:schemeClr val="accent1">
                        <a:shade val="15000"/>
                      </a:schemeClr>
                    </a:solidFill>
                  </a:ln>
                  <a:solidFill>
                    <a:schemeClr val="tx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0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solidFill>
                      <a:schemeClr val="accent1">
                        <a:shade val="15000"/>
                      </a:schemeClr>
                    </a:solidFill>
                  </a:ln>
                  <a:solidFill>
                    <a:schemeClr val="tx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2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2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2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2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2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3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
        <c:idx val="13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8181818181818181E-2"/>
          <c:y val="5.8394160583941604E-2"/>
          <c:w val="0.63264767358625618"/>
          <c:h val="0.94160583941605847"/>
        </c:manualLayout>
      </c:layout>
      <c:pie3DChart>
        <c:varyColors val="1"/>
        <c:ser>
          <c:idx val="0"/>
          <c:order val="0"/>
          <c:tx>
            <c:strRef>
              <c:f>'Product Pivot'!$C$5</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extLst xmlns:c16r2="http://schemas.microsoft.com/office/drawing/2015/06/chart">
              <c:ext xmlns:c16="http://schemas.microsoft.com/office/drawing/2014/chart" uri="{C3380CC4-5D6E-409C-BE32-E72D297353CC}">
                <c16:uniqueId val="{00000001-7DB8-496B-97D8-07884764A552}"/>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extLst xmlns:c16r2="http://schemas.microsoft.com/office/drawing/2015/06/chart">
              <c:ext xmlns:c16="http://schemas.microsoft.com/office/drawing/2014/chart" uri="{C3380CC4-5D6E-409C-BE32-E72D297353CC}">
                <c16:uniqueId val="{00000003-7DB8-496B-97D8-07884764A552}"/>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p3d/>
            </c:spPr>
            <c:extLst xmlns:c16r2="http://schemas.microsoft.com/office/drawing/2015/06/chart">
              <c:ext xmlns:c16="http://schemas.microsoft.com/office/drawing/2014/chart" uri="{C3380CC4-5D6E-409C-BE32-E72D297353CC}">
                <c16:uniqueId val="{00000005-7DB8-496B-97D8-07884764A552}"/>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extLst xmlns:c16r2="http://schemas.microsoft.com/office/drawing/2015/06/chart">
              <c:ext xmlns:c16="http://schemas.microsoft.com/office/drawing/2014/chart" uri="{C3380CC4-5D6E-409C-BE32-E72D297353CC}">
                <c16:uniqueId val="{00000007-7DB8-496B-97D8-07884764A552}"/>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sp3d/>
            </c:spPr>
            <c:extLst xmlns:c16r2="http://schemas.microsoft.com/office/drawing/2015/06/chart">
              <c:ext xmlns:c16="http://schemas.microsoft.com/office/drawing/2014/chart" uri="{C3380CC4-5D6E-409C-BE32-E72D297353CC}">
                <c16:uniqueId val="{00000009-7DB8-496B-97D8-07884764A552}"/>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sp3d/>
            </c:spPr>
            <c:extLst xmlns:c16r2="http://schemas.microsoft.com/office/drawing/2015/06/chart">
              <c:ext xmlns:c16="http://schemas.microsoft.com/office/drawing/2014/chart" uri="{C3380CC4-5D6E-409C-BE32-E72D297353CC}">
                <c16:uniqueId val="{0000000B-7DB8-496B-97D8-07884764A552}"/>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sp3d/>
            </c:spPr>
            <c:extLst xmlns:c16r2="http://schemas.microsoft.com/office/drawing/2015/06/chart">
              <c:ext xmlns:c16="http://schemas.microsoft.com/office/drawing/2014/chart" uri="{C3380CC4-5D6E-409C-BE32-E72D297353CC}">
                <c16:uniqueId val="{0000000D-7DB8-496B-97D8-07884764A552}"/>
              </c:ext>
            </c:extLst>
          </c:dPt>
          <c:dPt>
            <c:idx val="7"/>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sp3d/>
            </c:spPr>
            <c:extLst xmlns:c16r2="http://schemas.microsoft.com/office/drawing/2015/06/chart">
              <c:ext xmlns:c16="http://schemas.microsoft.com/office/drawing/2014/chart" uri="{C3380CC4-5D6E-409C-BE32-E72D297353CC}">
                <c16:uniqueId val="{0000000F-7DB8-496B-97D8-07884764A552}"/>
              </c:ext>
            </c:extLst>
          </c:dPt>
          <c:dPt>
            <c:idx val="8"/>
            <c:bubble3D val="0"/>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sp3d/>
            </c:spPr>
            <c:extLst xmlns:c16r2="http://schemas.microsoft.com/office/drawing/2015/06/chart">
              <c:ext xmlns:c16="http://schemas.microsoft.com/office/drawing/2014/chart" uri="{C3380CC4-5D6E-409C-BE32-E72D297353CC}">
                <c16:uniqueId val="{00000011-7DB8-496B-97D8-07884764A552}"/>
              </c:ext>
            </c:extLst>
          </c:dPt>
          <c:dPt>
            <c:idx val="9"/>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sp3d/>
            </c:spPr>
            <c:extLst xmlns:c16r2="http://schemas.microsoft.com/office/drawing/2015/06/chart">
              <c:ext xmlns:c16="http://schemas.microsoft.com/office/drawing/2014/chart" uri="{C3380CC4-5D6E-409C-BE32-E72D297353CC}">
                <c16:uniqueId val="{00000013-7DB8-496B-97D8-07884764A552}"/>
              </c:ext>
            </c:extLst>
          </c:dPt>
          <c:dPt>
            <c:idx val="10"/>
            <c:bubble3D val="0"/>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sp3d/>
            </c:spPr>
            <c:extLst xmlns:c16r2="http://schemas.microsoft.com/office/drawing/2015/06/chart">
              <c:ext xmlns:c16="http://schemas.microsoft.com/office/drawing/2014/chart" uri="{C3380CC4-5D6E-409C-BE32-E72D297353CC}">
                <c16:uniqueId val="{00000015-7DB8-496B-97D8-07884764A55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solidFill>
                        <a:schemeClr val="accent1">
                          <a:shade val="15000"/>
                        </a:schemeClr>
                      </a:solidFill>
                    </a:ln>
                    <a:solidFill>
                      <a:schemeClr val="tx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'Product Pivot'!$B$6:$B$17</c:f>
              <c:strCache>
                <c:ptCount val="11"/>
                <c:pt idx="0">
                  <c:v>Dairy &amp; Breakfast</c:v>
                </c:pt>
                <c:pt idx="1">
                  <c:v>Pharmacy</c:v>
                </c:pt>
                <c:pt idx="2">
                  <c:v>Fruits &amp; Vegetables</c:v>
                </c:pt>
                <c:pt idx="3">
                  <c:v>Pet Care</c:v>
                </c:pt>
                <c:pt idx="4">
                  <c:v>Household Care</c:v>
                </c:pt>
                <c:pt idx="5">
                  <c:v>Personal Care</c:v>
                </c:pt>
                <c:pt idx="6">
                  <c:v>Snacks &amp; Munchies</c:v>
                </c:pt>
                <c:pt idx="7">
                  <c:v>Cold Drinks &amp; Juices</c:v>
                </c:pt>
                <c:pt idx="8">
                  <c:v>Grocery &amp; Staples</c:v>
                </c:pt>
                <c:pt idx="9">
                  <c:v>Baby Care</c:v>
                </c:pt>
                <c:pt idx="10">
                  <c:v>Instant &amp; Frozen Food</c:v>
                </c:pt>
              </c:strCache>
            </c:strRef>
          </c:cat>
          <c:val>
            <c:numRef>
              <c:f>'Product Pivot'!$C$6:$C$17</c:f>
              <c:numCache>
                <c:formatCode>General</c:formatCode>
                <c:ptCount val="11"/>
                <c:pt idx="0">
                  <c:v>639222.18999999948</c:v>
                </c:pt>
                <c:pt idx="1">
                  <c:v>592368.57000000088</c:v>
                </c:pt>
                <c:pt idx="2">
                  <c:v>559053.08000000066</c:v>
                </c:pt>
                <c:pt idx="3">
                  <c:v>539888.75000000093</c:v>
                </c:pt>
                <c:pt idx="4">
                  <c:v>444244.25000000041</c:v>
                </c:pt>
                <c:pt idx="5">
                  <c:v>394894.61000000051</c:v>
                </c:pt>
                <c:pt idx="6">
                  <c:v>394648.70999999956</c:v>
                </c:pt>
                <c:pt idx="7">
                  <c:v>392717.62000000011</c:v>
                </c:pt>
                <c:pt idx="8">
                  <c:v>359937.82000000041</c:v>
                </c:pt>
                <c:pt idx="9">
                  <c:v>348227.18000000011</c:v>
                </c:pt>
                <c:pt idx="10">
                  <c:v>307212.6499999995</c:v>
                </c:pt>
              </c:numCache>
            </c:numRef>
          </c:val>
          <c:extLst xmlns:c16r2="http://schemas.microsoft.com/office/drawing/2015/06/chart">
            <c:ext xmlns:c16="http://schemas.microsoft.com/office/drawing/2014/chart" uri="{C3380CC4-5D6E-409C-BE32-E72D297353CC}">
              <c16:uniqueId val="{00000016-7DB8-496B-97D8-07884764A552}"/>
            </c:ext>
          </c:extLst>
        </c:ser>
        <c:dLbls>
          <c:showLegendKey val="0"/>
          <c:showVal val="1"/>
          <c:showCatName val="0"/>
          <c:showSerName val="0"/>
          <c:showPercent val="0"/>
          <c:showBubbleSize val="0"/>
          <c:showLeaderLines val="1"/>
        </c:dLbls>
      </c:pie3DChart>
      <c:spPr>
        <a:noFill/>
        <a:ln>
          <a:noFill/>
        </a:ln>
        <a:effectLst/>
      </c:spPr>
    </c:plotArea>
    <c:legend>
      <c:legendPos val="r"/>
      <c:layout>
        <c:manualLayout>
          <c:xMode val="edge"/>
          <c:yMode val="edge"/>
          <c:x val="0.65446585540443813"/>
          <c:y val="0.12212427619386129"/>
          <c:w val="0.29826141732283462"/>
          <c:h val="0.776176437949019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a:outerShdw blurRad="50800" dist="38100" algn="l" rotWithShape="0">
        <a:prstClr val="black">
          <a:alpha val="40000"/>
        </a:prstClr>
      </a:outerShdw>
    </a:effectLst>
  </c:spPr>
  <c:txPr>
    <a:bodyPr/>
    <a:lstStyle/>
    <a:p>
      <a:pPr>
        <a:defRPr/>
      </a:pPr>
      <a:endParaRPr lang="en-US"/>
    </a:p>
  </c:txPr>
  <c:externalData r:id="rId3">
    <c:autoUpdate val="0"/>
  </c:externalData>
  <c:userShapes r:id="rId4"/>
  <c:extLst xmlns:c16r2="http://schemas.microsoft.com/office/drawing/2015/06/char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[blinkit_dataset.xlsx]customer_pivot!PivotTable20</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b="1"/>
              <a:t>Customer Ratings</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
        <c:spPr>
          <a:solidFill>
            <a:schemeClr val="accent1"/>
          </a:solidFill>
          <a:ln>
            <a:noFill/>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
        <c:spPr>
          <a:solidFill>
            <a:schemeClr val="accent1"/>
          </a:solidFill>
          <a:ln>
            <a:noFill/>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8"/>
        <c:spPr>
          <a:solidFill>
            <a:schemeClr val="accent1"/>
          </a:solidFill>
          <a:ln>
            <a:noFill/>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9"/>
        <c:spPr>
          <a:solidFill>
            <a:schemeClr val="accent1"/>
          </a:solidFill>
          <a:ln>
            <a:noFill/>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0"/>
        <c:spPr>
          <a:solidFill>
            <a:schemeClr val="accent1"/>
          </a:solidFill>
          <a:ln>
            <a:noFill/>
          </a:ln>
          <a:effectLst/>
        </c:spPr>
        <c:marker>
          <c:symbol val="none"/>
        </c:marker>
      </c:pivotFmt>
      <c:pivotFmt>
        <c:idx val="11"/>
        <c:spPr>
          <a:solidFill>
            <a:schemeClr val="accent1"/>
          </a:solidFill>
          <a:ln>
            <a:noFill/>
          </a:ln>
          <a:effectLst/>
        </c:spPr>
        <c:marker>
          <c:symbol val="none"/>
        </c:marker>
      </c:pivotFmt>
      <c:pivotFmt>
        <c:idx val="12"/>
        <c:spPr>
          <a:solidFill>
            <a:schemeClr val="accent1"/>
          </a:solidFill>
          <a:ln>
            <a:noFill/>
          </a:ln>
          <a:effectLst/>
        </c:spPr>
        <c:marker>
          <c:symbol val="none"/>
        </c:marker>
      </c:pivotFmt>
      <c:pivotFmt>
        <c:idx val="13"/>
        <c:spPr>
          <a:solidFill>
            <a:schemeClr val="accent1"/>
          </a:solidFill>
          <a:ln>
            <a:noFill/>
          </a:ln>
          <a:effectLst/>
        </c:spPr>
        <c:marker>
          <c:symbol val="none"/>
        </c:marker>
      </c:pivotFmt>
      <c:pivotFmt>
        <c:idx val="14"/>
        <c:spPr>
          <a:solidFill>
            <a:schemeClr val="accent1"/>
          </a:solidFill>
          <a:ln>
            <a:noFill/>
          </a:ln>
          <a:effectLst/>
        </c:spPr>
        <c:marker>
          <c:symbol val="none"/>
        </c:marker>
      </c:pivotFmt>
      <c:pivotFmt>
        <c:idx val="15"/>
        <c:spPr>
          <a:solidFill>
            <a:schemeClr val="accent1"/>
          </a:solidFill>
          <a:ln>
            <a:noFill/>
          </a:ln>
          <a:effectLst/>
        </c:spPr>
        <c:marker>
          <c:symbol val="none"/>
        </c:marker>
      </c:pivotFmt>
      <c:pivotFmt>
        <c:idx val="16"/>
        <c:spPr>
          <a:solidFill>
            <a:schemeClr val="accent1"/>
          </a:solidFill>
          <a:ln>
            <a:noFill/>
          </a:ln>
          <a:effectLst/>
        </c:spPr>
        <c:marker>
          <c:symbol val="none"/>
        </c:marker>
      </c:pivotFmt>
      <c:pivotFmt>
        <c:idx val="17"/>
        <c:spPr>
          <a:solidFill>
            <a:schemeClr val="accent1"/>
          </a:solidFill>
          <a:ln>
            <a:noFill/>
          </a:ln>
          <a:effectLst/>
        </c:spPr>
        <c:marker>
          <c:symbol val="none"/>
        </c:marker>
      </c:pivotFmt>
      <c:pivotFmt>
        <c:idx val="18"/>
        <c:spPr>
          <a:solidFill>
            <a:schemeClr val="accent1"/>
          </a:solidFill>
          <a:ln>
            <a:noFill/>
          </a:ln>
          <a:effectLst/>
        </c:spPr>
        <c:marker>
          <c:symbol val="none"/>
        </c:marker>
      </c:pivotFmt>
      <c:pivotFmt>
        <c:idx val="19"/>
        <c:spPr>
          <a:solidFill>
            <a:schemeClr val="accent1"/>
          </a:solidFill>
          <a:ln>
            <a:noFill/>
          </a:ln>
          <a:effectLst/>
        </c:spPr>
        <c:marker>
          <c:symbol val="none"/>
        </c:marker>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customer_pivot!$L$32:$L$33</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customer_pivot!$K$34:$K$38</c:f>
              <c:strCache>
                <c:ptCount val="4"/>
                <c:pt idx="0">
                  <c:v>App Experience</c:v>
                </c:pt>
                <c:pt idx="1">
                  <c:v>Customer Service</c:v>
                </c:pt>
                <c:pt idx="2">
                  <c:v>Delivery</c:v>
                </c:pt>
                <c:pt idx="3">
                  <c:v>Product Quality</c:v>
                </c:pt>
              </c:strCache>
            </c:strRef>
          </c:cat>
          <c:val>
            <c:numRef>
              <c:f>customer_pivot!$L$34:$L$38</c:f>
              <c:numCache>
                <c:formatCode>General</c:formatCode>
                <c:ptCount val="4"/>
                <c:pt idx="0">
                  <c:v>127</c:v>
                </c:pt>
                <c:pt idx="1">
                  <c:v>129</c:v>
                </c:pt>
                <c:pt idx="2">
                  <c:v>146</c:v>
                </c:pt>
                <c:pt idx="3">
                  <c:v>138</c:v>
                </c:pt>
              </c:numCache>
            </c:numRef>
          </c:val>
          <c:extLst xmlns:c16r2="http://schemas.microsoft.com/office/drawing/2015/06/chart">
            <c:ext xmlns:c16="http://schemas.microsoft.com/office/drawing/2014/chart" uri="{C3380CC4-5D6E-409C-BE32-E72D297353CC}">
              <c16:uniqueId val="{00000000-D630-433A-90CC-6CBD3692EF1A}"/>
            </c:ext>
          </c:extLst>
        </c:ser>
        <c:ser>
          <c:idx val="1"/>
          <c:order val="1"/>
          <c:tx>
            <c:strRef>
              <c:f>customer_pivot!$M$32:$M$33</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customer_pivot!$K$34:$K$38</c:f>
              <c:strCache>
                <c:ptCount val="4"/>
                <c:pt idx="0">
                  <c:v>App Experience</c:v>
                </c:pt>
                <c:pt idx="1">
                  <c:v>Customer Service</c:v>
                </c:pt>
                <c:pt idx="2">
                  <c:v>Delivery</c:v>
                </c:pt>
                <c:pt idx="3">
                  <c:v>Product Quality</c:v>
                </c:pt>
              </c:strCache>
            </c:strRef>
          </c:cat>
          <c:val>
            <c:numRef>
              <c:f>customer_pivot!$M$34:$M$38</c:f>
              <c:numCache>
                <c:formatCode>General</c:formatCode>
                <c:ptCount val="4"/>
                <c:pt idx="0">
                  <c:v>137</c:v>
                </c:pt>
                <c:pt idx="1">
                  <c:v>138</c:v>
                </c:pt>
                <c:pt idx="2">
                  <c:v>132</c:v>
                </c:pt>
                <c:pt idx="3">
                  <c:v>131</c:v>
                </c:pt>
              </c:numCache>
            </c:numRef>
          </c:val>
          <c:extLst xmlns:c16r2="http://schemas.microsoft.com/office/drawing/2015/06/chart">
            <c:ext xmlns:c16="http://schemas.microsoft.com/office/drawing/2014/chart" uri="{C3380CC4-5D6E-409C-BE32-E72D297353CC}">
              <c16:uniqueId val="{00000001-D630-433A-90CC-6CBD3692EF1A}"/>
            </c:ext>
          </c:extLst>
        </c:ser>
        <c:ser>
          <c:idx val="2"/>
          <c:order val="2"/>
          <c:tx>
            <c:strRef>
              <c:f>customer_pivot!$N$32:$N$33</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customer_pivot!$K$34:$K$38</c:f>
              <c:strCache>
                <c:ptCount val="4"/>
                <c:pt idx="0">
                  <c:v>App Experience</c:v>
                </c:pt>
                <c:pt idx="1">
                  <c:v>Customer Service</c:v>
                </c:pt>
                <c:pt idx="2">
                  <c:v>Delivery</c:v>
                </c:pt>
                <c:pt idx="3">
                  <c:v>Product Quality</c:v>
                </c:pt>
              </c:strCache>
            </c:strRef>
          </c:cat>
          <c:val>
            <c:numRef>
              <c:f>customer_pivot!$N$34:$N$38</c:f>
              <c:numCache>
                <c:formatCode>General</c:formatCode>
                <c:ptCount val="4"/>
                <c:pt idx="0">
                  <c:v>318</c:v>
                </c:pt>
                <c:pt idx="1">
                  <c:v>347</c:v>
                </c:pt>
                <c:pt idx="2">
                  <c:v>356</c:v>
                </c:pt>
                <c:pt idx="3">
                  <c:v>377</c:v>
                </c:pt>
              </c:numCache>
            </c:numRef>
          </c:val>
          <c:extLst xmlns:c16r2="http://schemas.microsoft.com/office/drawing/2015/06/chart">
            <c:ext xmlns:c16="http://schemas.microsoft.com/office/drawing/2014/chart" uri="{C3380CC4-5D6E-409C-BE32-E72D297353CC}">
              <c16:uniqueId val="{00000002-D630-433A-90CC-6CBD3692EF1A}"/>
            </c:ext>
          </c:extLst>
        </c:ser>
        <c:ser>
          <c:idx val="3"/>
          <c:order val="3"/>
          <c:tx>
            <c:strRef>
              <c:f>customer_pivot!$O$32:$O$33</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customer_pivot!$K$34:$K$38</c:f>
              <c:strCache>
                <c:ptCount val="4"/>
                <c:pt idx="0">
                  <c:v>App Experience</c:v>
                </c:pt>
                <c:pt idx="1">
                  <c:v>Customer Service</c:v>
                </c:pt>
                <c:pt idx="2">
                  <c:v>Delivery</c:v>
                </c:pt>
                <c:pt idx="3">
                  <c:v>Product Quality</c:v>
                </c:pt>
              </c:strCache>
            </c:strRef>
          </c:cat>
          <c:val>
            <c:numRef>
              <c:f>customer_pivot!$O$34:$O$38</c:f>
              <c:numCache>
                <c:formatCode>General</c:formatCode>
                <c:ptCount val="4"/>
                <c:pt idx="0">
                  <c:v>432</c:v>
                </c:pt>
                <c:pt idx="1">
                  <c:v>442</c:v>
                </c:pt>
                <c:pt idx="2">
                  <c:v>427</c:v>
                </c:pt>
                <c:pt idx="3">
                  <c:v>407</c:v>
                </c:pt>
              </c:numCache>
            </c:numRef>
          </c:val>
          <c:extLst xmlns:c16r2="http://schemas.microsoft.com/office/drawing/2015/06/chart">
            <c:ext xmlns:c16="http://schemas.microsoft.com/office/drawing/2014/chart" uri="{C3380CC4-5D6E-409C-BE32-E72D297353CC}">
              <c16:uniqueId val="{00000003-D630-433A-90CC-6CBD3692EF1A}"/>
            </c:ext>
          </c:extLst>
        </c:ser>
        <c:ser>
          <c:idx val="4"/>
          <c:order val="4"/>
          <c:tx>
            <c:strRef>
              <c:f>customer_pivot!$P$32:$P$33</c:f>
              <c:strCache>
                <c:ptCount val="1"/>
                <c:pt idx="0">
                  <c:v>5</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customer_pivot!$K$34:$K$38</c:f>
              <c:strCache>
                <c:ptCount val="4"/>
                <c:pt idx="0">
                  <c:v>App Experience</c:v>
                </c:pt>
                <c:pt idx="1">
                  <c:v>Customer Service</c:v>
                </c:pt>
                <c:pt idx="2">
                  <c:v>Delivery</c:v>
                </c:pt>
                <c:pt idx="3">
                  <c:v>Product Quality</c:v>
                </c:pt>
              </c:strCache>
            </c:strRef>
          </c:cat>
          <c:val>
            <c:numRef>
              <c:f>customer_pivot!$P$34:$P$38</c:f>
              <c:numCache>
                <c:formatCode>General</c:formatCode>
                <c:ptCount val="4"/>
                <c:pt idx="0">
                  <c:v>199</c:v>
                </c:pt>
                <c:pt idx="1">
                  <c:v>210</c:v>
                </c:pt>
                <c:pt idx="2">
                  <c:v>210</c:v>
                </c:pt>
                <c:pt idx="3">
                  <c:v>197</c:v>
                </c:pt>
              </c:numCache>
            </c:numRef>
          </c:val>
          <c:extLst xmlns:c16r2="http://schemas.microsoft.com/office/drawing/2015/06/chart">
            <c:ext xmlns:c16="http://schemas.microsoft.com/office/drawing/2014/chart" uri="{C3380CC4-5D6E-409C-BE32-E72D297353CC}">
              <c16:uniqueId val="{00000004-D630-433A-90CC-6CBD3692EF1A}"/>
            </c:ext>
          </c:extLst>
        </c:ser>
        <c:dLbls>
          <c:dLblPos val="outEnd"/>
          <c:showLegendKey val="0"/>
          <c:showVal val="1"/>
          <c:showCatName val="0"/>
          <c:showSerName val="0"/>
          <c:showPercent val="0"/>
          <c:showBubbleSize val="0"/>
        </c:dLbls>
        <c:gapWidth val="219"/>
        <c:overlap val="-27"/>
        <c:axId val="2050057632"/>
        <c:axId val="2050045664"/>
      </c:barChart>
      <c:catAx>
        <c:axId val="2050057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0045664"/>
        <c:crosses val="autoZero"/>
        <c:auto val="1"/>
        <c:lblAlgn val="ctr"/>
        <c:lblOffset val="100"/>
        <c:noMultiLvlLbl val="0"/>
      </c:catAx>
      <c:valAx>
        <c:axId val="205004566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00576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a:outerShdw blurRad="50800" dist="38100" algn="l" rotWithShape="0">
        <a:prstClr val="black">
          <a:alpha val="40000"/>
        </a:prstClr>
      </a:outerShdw>
    </a:effectLst>
  </c:spPr>
  <c:txPr>
    <a:bodyPr/>
    <a:lstStyle/>
    <a:p>
      <a:pPr>
        <a:defRPr/>
      </a:pPr>
      <a:endParaRPr lang="en-US"/>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[blinkit_dataset.xlsx]Product Pivot!PivotTable7</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Sales Correlation</a:t>
            </a:r>
          </a:p>
        </c:rich>
      </c:tx>
      <c:layout>
        <c:manualLayout>
          <c:xMode val="edge"/>
          <c:yMode val="edge"/>
          <c:x val="0.32290144154248812"/>
          <c:y val="3.0009806354044825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pivotFmt>
      <c:pivotFmt>
        <c:idx val="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pivotFmt>
    </c:pivotFmts>
    <c:plotArea>
      <c:layout/>
      <c:barChart>
        <c:barDir val="col"/>
        <c:grouping val="clustered"/>
        <c:varyColors val="0"/>
        <c:ser>
          <c:idx val="0"/>
          <c:order val="0"/>
          <c:tx>
            <c:strRef>
              <c:f>'Product Pivot'!$I$5</c:f>
              <c:strCache>
                <c:ptCount val="1"/>
                <c:pt idx="0">
                  <c:v>Sum of unit_price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'Product Pivot'!$H$6:$H$17</c:f>
              <c:strCache>
                <c:ptCount val="11"/>
                <c:pt idx="0">
                  <c:v>Baby Care</c:v>
                </c:pt>
                <c:pt idx="1">
                  <c:v>Cold Drinks &amp; Juices</c:v>
                </c:pt>
                <c:pt idx="2">
                  <c:v>Dairy &amp; Breakfast</c:v>
                </c:pt>
                <c:pt idx="3">
                  <c:v>Fruits &amp; Vegetables</c:v>
                </c:pt>
                <c:pt idx="4">
                  <c:v>Grocery &amp; Staples</c:v>
                </c:pt>
                <c:pt idx="5">
                  <c:v>Household Care</c:v>
                </c:pt>
                <c:pt idx="6">
                  <c:v>Instant &amp; Frozen Food</c:v>
                </c:pt>
                <c:pt idx="7">
                  <c:v>Personal Care</c:v>
                </c:pt>
                <c:pt idx="8">
                  <c:v>Pet Care</c:v>
                </c:pt>
                <c:pt idx="9">
                  <c:v>Pharmacy</c:v>
                </c:pt>
                <c:pt idx="10">
                  <c:v>Snacks &amp; Munchies</c:v>
                </c:pt>
              </c:strCache>
            </c:strRef>
          </c:cat>
          <c:val>
            <c:numRef>
              <c:f>'Product Pivot'!$I$6:$I$17</c:f>
              <c:numCache>
                <c:formatCode>General</c:formatCode>
                <c:ptCount val="11"/>
                <c:pt idx="0">
                  <c:v>174234.21</c:v>
                </c:pt>
                <c:pt idx="1">
                  <c:v>193998.39000000019</c:v>
                </c:pt>
                <c:pt idx="2">
                  <c:v>325323.43999999989</c:v>
                </c:pt>
                <c:pt idx="3">
                  <c:v>278708.39999999985</c:v>
                </c:pt>
                <c:pt idx="4">
                  <c:v>180020.08000000007</c:v>
                </c:pt>
                <c:pt idx="5">
                  <c:v>208181.2600000001</c:v>
                </c:pt>
                <c:pt idx="6">
                  <c:v>147029.30999999991</c:v>
                </c:pt>
                <c:pt idx="7">
                  <c:v>199281.46000000031</c:v>
                </c:pt>
                <c:pt idx="8">
                  <c:v>268139.49999999983</c:v>
                </c:pt>
                <c:pt idx="9">
                  <c:v>289331.13000000018</c:v>
                </c:pt>
                <c:pt idx="10">
                  <c:v>201542.32000000007</c:v>
                </c:pt>
              </c:numCache>
            </c:numRef>
          </c:val>
          <c:extLst xmlns:c16r2="http://schemas.microsoft.com/office/drawing/2015/06/chart">
            <c:ext xmlns:c16="http://schemas.microsoft.com/office/drawing/2014/chart" uri="{C3380CC4-5D6E-409C-BE32-E72D297353CC}">
              <c16:uniqueId val="{00000000-1F12-4119-A444-3A2BA3EB6754}"/>
            </c:ext>
          </c:extLst>
        </c:ser>
        <c:dLbls>
          <c:showLegendKey val="0"/>
          <c:showVal val="0"/>
          <c:showCatName val="0"/>
          <c:showSerName val="0"/>
          <c:showPercent val="0"/>
          <c:showBubbleSize val="0"/>
        </c:dLbls>
        <c:gapWidth val="269"/>
        <c:overlap val="-27"/>
        <c:axId val="2050049472"/>
        <c:axId val="2050051104"/>
      </c:barChart>
      <c:lineChart>
        <c:grouping val="standard"/>
        <c:varyColors val="0"/>
        <c:ser>
          <c:idx val="1"/>
          <c:order val="1"/>
          <c:tx>
            <c:strRef>
              <c:f>'Product Pivot'!$J$5</c:f>
              <c:strCache>
                <c:ptCount val="1"/>
                <c:pt idx="0">
                  <c:v>Sum of quantity</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cat>
            <c:strRef>
              <c:f>'Product Pivot'!$H$6:$H$17</c:f>
              <c:strCache>
                <c:ptCount val="11"/>
                <c:pt idx="0">
                  <c:v>Baby Care</c:v>
                </c:pt>
                <c:pt idx="1">
                  <c:v>Cold Drinks &amp; Juices</c:v>
                </c:pt>
                <c:pt idx="2">
                  <c:v>Dairy &amp; Breakfast</c:v>
                </c:pt>
                <c:pt idx="3">
                  <c:v>Fruits &amp; Vegetables</c:v>
                </c:pt>
                <c:pt idx="4">
                  <c:v>Grocery &amp; Staples</c:v>
                </c:pt>
                <c:pt idx="5">
                  <c:v>Household Care</c:v>
                </c:pt>
                <c:pt idx="6">
                  <c:v>Instant &amp; Frozen Food</c:v>
                </c:pt>
                <c:pt idx="7">
                  <c:v>Personal Care</c:v>
                </c:pt>
                <c:pt idx="8">
                  <c:v>Pet Care</c:v>
                </c:pt>
                <c:pt idx="9">
                  <c:v>Pharmacy</c:v>
                </c:pt>
                <c:pt idx="10">
                  <c:v>Snacks &amp; Munchies</c:v>
                </c:pt>
              </c:strCache>
            </c:strRef>
          </c:cat>
          <c:val>
            <c:numRef>
              <c:f>'Product Pivot'!$J$6:$J$17</c:f>
              <c:numCache>
                <c:formatCode>General</c:formatCode>
                <c:ptCount val="11"/>
                <c:pt idx="0">
                  <c:v>655</c:v>
                </c:pt>
                <c:pt idx="1">
                  <c:v>758</c:v>
                </c:pt>
                <c:pt idx="2">
                  <c:v>1114</c:v>
                </c:pt>
                <c:pt idx="3">
                  <c:v>966</c:v>
                </c:pt>
                <c:pt idx="4">
                  <c:v>895</c:v>
                </c:pt>
                <c:pt idx="5">
                  <c:v>1078</c:v>
                </c:pt>
                <c:pt idx="6">
                  <c:v>742</c:v>
                </c:pt>
                <c:pt idx="7">
                  <c:v>887</c:v>
                </c:pt>
                <c:pt idx="8">
                  <c:v>1003</c:v>
                </c:pt>
                <c:pt idx="9">
                  <c:v>973</c:v>
                </c:pt>
                <c:pt idx="10">
                  <c:v>963</c:v>
                </c:pt>
              </c:numCache>
            </c:numRef>
          </c:val>
          <c:smooth val="1"/>
          <c:extLst xmlns:c16r2="http://schemas.microsoft.com/office/drawing/2015/06/chart">
            <c:ext xmlns:c16="http://schemas.microsoft.com/office/drawing/2014/chart" uri="{C3380CC4-5D6E-409C-BE32-E72D297353CC}">
              <c16:uniqueId val="{00000001-1F12-4119-A444-3A2BA3EB6754}"/>
            </c:ext>
          </c:extLst>
        </c:ser>
        <c:dLbls>
          <c:showLegendKey val="0"/>
          <c:showVal val="0"/>
          <c:showCatName val="0"/>
          <c:showSerName val="0"/>
          <c:showPercent val="0"/>
          <c:showBubbleSize val="0"/>
        </c:dLbls>
        <c:marker val="1"/>
        <c:smooth val="0"/>
        <c:axId val="2050052736"/>
        <c:axId val="2050051648"/>
      </c:lineChart>
      <c:catAx>
        <c:axId val="2050049472"/>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0051104"/>
        <c:crosses val="autoZero"/>
        <c:auto val="1"/>
        <c:lblAlgn val="ctr"/>
        <c:lblOffset val="100"/>
        <c:noMultiLvlLbl val="0"/>
      </c:catAx>
      <c:valAx>
        <c:axId val="2050051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0049472"/>
        <c:crosses val="autoZero"/>
        <c:crossBetween val="between"/>
      </c:valAx>
      <c:valAx>
        <c:axId val="2050051648"/>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0052736"/>
        <c:crosses val="max"/>
        <c:crossBetween val="between"/>
      </c:valAx>
      <c:catAx>
        <c:axId val="2050052736"/>
        <c:scaling>
          <c:orientation val="minMax"/>
        </c:scaling>
        <c:delete val="1"/>
        <c:axPos val="b"/>
        <c:numFmt formatCode="General" sourceLinked="1"/>
        <c:majorTickMark val="none"/>
        <c:minorTickMark val="none"/>
        <c:tickLblPos val="nextTo"/>
        <c:crossAx val="205005164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a:outerShdw blurRad="50800" dist="38100" algn="l" rotWithShape="0">
        <a:prstClr val="black">
          <a:alpha val="40000"/>
        </a:prstClr>
      </a:outerShdw>
    </a:effectLst>
  </c:spPr>
  <c:txPr>
    <a:bodyPr/>
    <a:lstStyle/>
    <a:p>
      <a:pPr>
        <a:defRPr/>
      </a:pPr>
      <a:endParaRPr lang="en-US"/>
    </a:p>
  </c:txPr>
  <c:externalData r:id="rId3">
    <c:autoUpdate val="0"/>
  </c:externalData>
  <c:extLst xmlns:c16r2="http://schemas.microsoft.com/office/drawing/2015/06/chart">
    <c:ext xmlns:c14="http://schemas.microsoft.com/office/drawing/2007/8/2/chart" uri="{781A3756-C4B2-4CAC-9D66-4F8BD8637D16}">
      <c14:pivotOptions>
        <c14:dropZoneFilter val="1"/>
        <c14:dropZoneCategories val="1"/>
        <c14:dropZoneData val="1"/>
        <c14:dropZoneSeries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[blinkit_dataset.xlsx]customer_pivot!PivotTable9</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Customer Segments</a:t>
            </a:r>
          </a:p>
        </c:rich>
      </c:tx>
      <c:layout>
        <c:manualLayout>
          <c:xMode val="edge"/>
          <c:yMode val="edge"/>
          <c:x val="0.19787903967255618"/>
          <c:y val="5.6053811659192683E-4"/>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
        <c:spPr>
          <a:solidFill>
            <a:schemeClr val="accent1"/>
          </a:solidFill>
          <a:ln>
            <a:noFill/>
          </a:ln>
          <a:effectLst/>
        </c:spPr>
      </c:pivotFmt>
      <c:pivotFmt>
        <c:idx val="8"/>
        <c:spPr>
          <a:solidFill>
            <a:schemeClr val="accent1"/>
          </a:solidFill>
          <a:ln>
            <a:noFill/>
          </a:ln>
          <a:effectLst/>
        </c:spPr>
      </c:pivotFmt>
      <c:pivotFmt>
        <c:idx val="9"/>
        <c:spPr>
          <a:solidFill>
            <a:schemeClr val="accent1"/>
          </a:solidFill>
          <a:ln>
            <a:noFill/>
          </a:ln>
          <a:effectLst/>
        </c:spPr>
      </c:pivotFmt>
      <c:pivotFmt>
        <c:idx val="10"/>
        <c:spPr>
          <a:solidFill>
            <a:schemeClr val="accent1"/>
          </a:solidFill>
          <a:ln>
            <a:noFill/>
          </a:ln>
          <a:effectLst/>
        </c:spPr>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pivotFmt>
      <c:pivotFmt>
        <c:idx val="13"/>
        <c:spPr>
          <a:solidFill>
            <a:schemeClr val="accent1"/>
          </a:solidFill>
          <a:ln>
            <a:noFill/>
          </a:ln>
          <a:effectLst/>
        </c:spPr>
      </c:pivotFmt>
      <c:pivotFmt>
        <c:idx val="14"/>
        <c:spPr>
          <a:solidFill>
            <a:schemeClr val="accent1"/>
          </a:solidFill>
          <a:ln>
            <a:noFill/>
          </a:ln>
          <a:effectLst/>
        </c:spPr>
      </c:pivotFmt>
      <c:pivotFmt>
        <c:idx val="15"/>
        <c:spPr>
          <a:solidFill>
            <a:schemeClr val="accent1"/>
          </a:solidFill>
          <a:ln>
            <a:noFill/>
          </a:ln>
          <a:effectLst/>
        </c:spPr>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pivotFmt>
      <c:pivotFmt>
        <c:idx val="18"/>
        <c:spPr>
          <a:solidFill>
            <a:schemeClr val="accent1"/>
          </a:solidFill>
          <a:ln>
            <a:noFill/>
          </a:ln>
          <a:effectLst/>
        </c:spPr>
      </c:pivotFmt>
      <c:pivotFmt>
        <c:idx val="19"/>
        <c:spPr>
          <a:solidFill>
            <a:schemeClr val="accent1"/>
          </a:solidFill>
          <a:ln>
            <a:noFill/>
          </a:ln>
          <a:effectLst/>
        </c:spPr>
      </c:pivotFmt>
      <c:pivotFmt>
        <c:idx val="20"/>
        <c:spPr>
          <a:solidFill>
            <a:schemeClr val="accent1"/>
          </a:solidFill>
          <a:ln>
            <a:noFill/>
          </a:ln>
          <a:effectLst/>
        </c:spPr>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pivotFmt>
      <c:pivotFmt>
        <c:idx val="23"/>
        <c:spPr>
          <a:solidFill>
            <a:schemeClr val="accent1"/>
          </a:solidFill>
          <a:ln>
            <a:noFill/>
          </a:ln>
          <a:effectLst/>
        </c:spPr>
      </c:pivotFmt>
      <c:pivotFmt>
        <c:idx val="24"/>
        <c:spPr>
          <a:solidFill>
            <a:schemeClr val="accent1"/>
          </a:solidFill>
          <a:ln>
            <a:noFill/>
          </a:ln>
          <a:effectLst/>
        </c:spPr>
      </c:pivotFmt>
      <c:pivotFmt>
        <c:idx val="25"/>
        <c:spPr>
          <a:solidFill>
            <a:schemeClr val="accent1"/>
          </a:solidFill>
          <a:ln>
            <a:noFill/>
          </a:ln>
          <a:effectLst/>
        </c:spPr>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pivotFmt>
      <c:pivotFmt>
        <c:idx val="28"/>
        <c:spPr>
          <a:solidFill>
            <a:schemeClr val="accent1"/>
          </a:solidFill>
          <a:ln>
            <a:noFill/>
          </a:ln>
          <a:effectLst/>
        </c:spPr>
      </c:pivotFmt>
      <c:pivotFmt>
        <c:idx val="29"/>
        <c:spPr>
          <a:solidFill>
            <a:schemeClr val="accent1"/>
          </a:solidFill>
          <a:ln>
            <a:noFill/>
          </a:ln>
          <a:effectLst/>
        </c:spPr>
      </c:pivotFmt>
      <c:pivotFmt>
        <c:idx val="30"/>
        <c:spPr>
          <a:solidFill>
            <a:schemeClr val="accent1"/>
          </a:solidFill>
          <a:ln>
            <a:noFill/>
          </a:ln>
          <a:effectLst/>
        </c:spPr>
      </c:pivotFmt>
    </c:pivotFmts>
    <c:plotArea>
      <c:layout>
        <c:manualLayout>
          <c:layoutTarget val="inner"/>
          <c:xMode val="edge"/>
          <c:yMode val="edge"/>
          <c:x val="9.4042398546335559E-2"/>
          <c:y val="0.22539145595695106"/>
          <c:w val="0.44447631738340404"/>
          <c:h val="0.66415953359794844"/>
        </c:manualLayout>
      </c:layout>
      <c:doughnutChart>
        <c:varyColors val="1"/>
        <c:ser>
          <c:idx val="0"/>
          <c:order val="0"/>
          <c:tx>
            <c:strRef>
              <c:f>customer_pivot!$B$3</c:f>
              <c:strCache>
                <c:ptCount val="1"/>
                <c:pt idx="0">
                  <c:v>Total</c:v>
                </c:pt>
              </c:strCache>
            </c:strRef>
          </c:tx>
          <c:dPt>
            <c:idx val="0"/>
            <c:bubble3D val="0"/>
            <c:spPr>
              <a:solidFill>
                <a:schemeClr val="accent1"/>
              </a:solidFill>
              <a:ln>
                <a:noFill/>
              </a:ln>
              <a:effectLst/>
            </c:spPr>
            <c:extLst xmlns:c16r2="http://schemas.microsoft.com/office/drawing/2015/06/chart">
              <c:ext xmlns:c16="http://schemas.microsoft.com/office/drawing/2014/chart" uri="{C3380CC4-5D6E-409C-BE32-E72D297353CC}">
                <c16:uniqueId val="{00000001-9553-4B7B-8F5D-6E1E0FEA7588}"/>
              </c:ext>
            </c:extLst>
          </c:dPt>
          <c:dPt>
            <c:idx val="1"/>
            <c:bubble3D val="0"/>
            <c:spPr>
              <a:solidFill>
                <a:schemeClr val="accent2"/>
              </a:solidFill>
              <a:ln>
                <a:noFill/>
              </a:ln>
              <a:effectLst/>
            </c:spPr>
            <c:extLst xmlns:c16r2="http://schemas.microsoft.com/office/drawing/2015/06/chart">
              <c:ext xmlns:c16="http://schemas.microsoft.com/office/drawing/2014/chart" uri="{C3380CC4-5D6E-409C-BE32-E72D297353CC}">
                <c16:uniqueId val="{00000003-9553-4B7B-8F5D-6E1E0FEA7588}"/>
              </c:ext>
            </c:extLst>
          </c:dPt>
          <c:dPt>
            <c:idx val="2"/>
            <c:bubble3D val="0"/>
            <c:spPr>
              <a:solidFill>
                <a:schemeClr val="accent3"/>
              </a:solidFill>
              <a:ln>
                <a:noFill/>
              </a:ln>
              <a:effectLst/>
            </c:spPr>
            <c:extLst xmlns:c16r2="http://schemas.microsoft.com/office/drawing/2015/06/chart">
              <c:ext xmlns:c16="http://schemas.microsoft.com/office/drawing/2014/chart" uri="{C3380CC4-5D6E-409C-BE32-E72D297353CC}">
                <c16:uniqueId val="{00000005-9553-4B7B-8F5D-6E1E0FEA7588}"/>
              </c:ext>
            </c:extLst>
          </c:dPt>
          <c:dPt>
            <c:idx val="3"/>
            <c:bubble3D val="0"/>
            <c:spPr>
              <a:solidFill>
                <a:schemeClr val="accent4"/>
              </a:solidFill>
              <a:ln>
                <a:noFill/>
              </a:ln>
              <a:effectLst/>
            </c:spPr>
            <c:extLst xmlns:c16r2="http://schemas.microsoft.com/office/drawing/2015/06/chart">
              <c:ext xmlns:c16="http://schemas.microsoft.com/office/drawing/2014/chart" uri="{C3380CC4-5D6E-409C-BE32-E72D297353CC}">
                <c16:uniqueId val="{00000007-9553-4B7B-8F5D-6E1E0FEA758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customer_pivot!$A$4:$A$8</c:f>
              <c:strCache>
                <c:ptCount val="4"/>
                <c:pt idx="0">
                  <c:v>Inactive</c:v>
                </c:pt>
                <c:pt idx="1">
                  <c:v>New</c:v>
                </c:pt>
                <c:pt idx="2">
                  <c:v>Premium</c:v>
                </c:pt>
                <c:pt idx="3">
                  <c:v>Regular</c:v>
                </c:pt>
              </c:strCache>
            </c:strRef>
          </c:cat>
          <c:val>
            <c:numRef>
              <c:f>customer_pivot!$B$4:$B$8</c:f>
              <c:numCache>
                <c:formatCode>General</c:formatCode>
                <c:ptCount val="4"/>
                <c:pt idx="0">
                  <c:v>600</c:v>
                </c:pt>
                <c:pt idx="1">
                  <c:v>628</c:v>
                </c:pt>
                <c:pt idx="2">
                  <c:v>633</c:v>
                </c:pt>
                <c:pt idx="3">
                  <c:v>639</c:v>
                </c:pt>
              </c:numCache>
            </c:numRef>
          </c:val>
          <c:extLst xmlns:c16r2="http://schemas.microsoft.com/office/drawing/2015/06/chart">
            <c:ext xmlns:c16="http://schemas.microsoft.com/office/drawing/2014/chart" uri="{C3380CC4-5D6E-409C-BE32-E72D297353CC}">
              <c16:uniqueId val="{00000000-9C08-4CF9-B82A-044F12756569}"/>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r"/>
      <c:layout>
        <c:manualLayout>
          <c:xMode val="edge"/>
          <c:yMode val="edge"/>
          <c:x val="0.62257492428831007"/>
          <c:y val="0.23604363396243355"/>
          <c:w val="0.30396850233248668"/>
          <c:h val="0.609026530565849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a:outerShdw blurRad="50800" dist="38100" algn="l" rotWithShape="0">
        <a:prstClr val="black">
          <a:alpha val="40000"/>
        </a:prstClr>
      </a:outerShdw>
    </a:effectLst>
  </c:spPr>
  <c:txPr>
    <a:bodyPr/>
    <a:lstStyle/>
    <a:p>
      <a:pPr>
        <a:defRPr/>
      </a:pPr>
      <a:endParaRPr lang="en-US"/>
    </a:p>
  </c:txPr>
  <c:externalData r:id="rId3">
    <c:autoUpdate val="0"/>
  </c:externalData>
  <c:extLst xmlns:c16r2="http://schemas.microsoft.com/office/drawing/2015/06/chart">
    <c:ext xmlns:c14="http://schemas.microsoft.com/office/drawing/2007/8/2/chart" uri="{781A3756-C4B2-4CAC-9D66-4F8BD8637D16}">
      <c14:pivotOptions>
        <c14:dropZoneFilter val="1"/>
        <c14:dropZoneCategories val="1"/>
        <c14:dropZoneData val="1"/>
        <c14:dropZoneSeries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[blinkit_dataset.xlsx]Product Pivot!PivotTable6</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1" i="0" u="none" strike="noStrike" kern="1200" spc="0" baseline="0">
                <a:solidFill>
                  <a:sysClr val="windowText" lastClr="000000">
                    <a:lumMod val="65000"/>
                    <a:lumOff val="35000"/>
                  </a:sysClr>
                </a:solidFill>
                <a:latin typeface="+mn-lt"/>
                <a:ea typeface="+mn-ea"/>
                <a:cs typeface="+mn-cs"/>
              </a:defRPr>
            </a:pPr>
            <a:r>
              <a:rPr lang="en-US" sz="1400" b="1" i="0" u="none" strike="noStrike" kern="1200" spc="0" baseline="0">
                <a:solidFill>
                  <a:sysClr val="windowText" lastClr="000000">
                    <a:lumMod val="65000"/>
                    <a:lumOff val="35000"/>
                  </a:sysClr>
                </a:solidFill>
              </a:rPr>
              <a:t>Top 10 products by Sales</a:t>
            </a:r>
          </a:p>
        </c:rich>
      </c:tx>
      <c:layout>
        <c:manualLayout>
          <c:xMode val="edge"/>
          <c:yMode val="edge"/>
          <c:x val="0.11367320261437906"/>
          <c:y val="0"/>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1" i="0" u="none" strike="noStrike" kern="1200" spc="0" baseline="0">
              <a:solidFill>
                <a:sysClr val="windowText" lastClr="000000">
                  <a:lumMod val="65000"/>
                  <a:lumOff val="35000"/>
                </a:sys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338323284922662"/>
          <c:y val="9.0044612081431261E-2"/>
          <c:w val="0.52771550614996654"/>
          <c:h val="0.77209072948983426"/>
        </c:manualLayout>
      </c:layout>
      <c:barChart>
        <c:barDir val="bar"/>
        <c:grouping val="clustered"/>
        <c:varyColors val="0"/>
        <c:ser>
          <c:idx val="0"/>
          <c:order val="0"/>
          <c:tx>
            <c:strRef>
              <c:f>'Product Pivot'!$F$5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 Pivot'!$E$6:$E$16</c:f>
              <c:strCache>
                <c:ptCount val="10"/>
                <c:pt idx="0">
                  <c:v>Vitamins</c:v>
                </c:pt>
                <c:pt idx="1">
                  <c:v>Pet Treats</c:v>
                </c:pt>
                <c:pt idx="2">
                  <c:v>Cough Syrup</c:v>
                </c:pt>
                <c:pt idx="3">
                  <c:v>Toilet Cleaner</c:v>
                </c:pt>
                <c:pt idx="4">
                  <c:v>Bread</c:v>
                </c:pt>
                <c:pt idx="5">
                  <c:v>Dish Soap</c:v>
                </c:pt>
                <c:pt idx="6">
                  <c:v>Cat Food</c:v>
                </c:pt>
                <c:pt idx="7">
                  <c:v>Baby Wipes</c:v>
                </c:pt>
                <c:pt idx="8">
                  <c:v>Onions</c:v>
                </c:pt>
                <c:pt idx="9">
                  <c:v>Baby Food</c:v>
                </c:pt>
              </c:strCache>
            </c:strRef>
          </c:cat>
          <c:val>
            <c:numRef>
              <c:f>'Product Pivot'!$F$6:$F$16</c:f>
              <c:numCache>
                <c:formatCode>General</c:formatCode>
                <c:ptCount val="10"/>
                <c:pt idx="0">
                  <c:v>260822.00999999983</c:v>
                </c:pt>
                <c:pt idx="1">
                  <c:v>252007.37</c:v>
                </c:pt>
                <c:pt idx="2">
                  <c:v>203569.97999999995</c:v>
                </c:pt>
                <c:pt idx="3">
                  <c:v>199837.47999999992</c:v>
                </c:pt>
                <c:pt idx="4">
                  <c:v>184851.1</c:v>
                </c:pt>
                <c:pt idx="5">
                  <c:v>184441.21000000002</c:v>
                </c:pt>
                <c:pt idx="6">
                  <c:v>166596.3899999999</c:v>
                </c:pt>
                <c:pt idx="7">
                  <c:v>158768.41</c:v>
                </c:pt>
                <c:pt idx="8">
                  <c:v>138858.42000000001</c:v>
                </c:pt>
                <c:pt idx="9">
                  <c:v>137442.79000000004</c:v>
                </c:pt>
              </c:numCache>
            </c:numRef>
          </c:val>
          <c:extLst xmlns:c16r2="http://schemas.microsoft.com/office/drawing/2015/06/chart">
            <c:ext xmlns:c16="http://schemas.microsoft.com/office/drawing/2014/chart" uri="{C3380CC4-5D6E-409C-BE32-E72D297353CC}">
              <c16:uniqueId val="{00000000-BC01-496F-9EFE-6FDEB2C5DFF7}"/>
            </c:ext>
          </c:extLst>
        </c:ser>
        <c:dLbls>
          <c:dLblPos val="outEnd"/>
          <c:showLegendKey val="0"/>
          <c:showVal val="1"/>
          <c:showCatName val="0"/>
          <c:showSerName val="0"/>
          <c:showPercent val="0"/>
          <c:showBubbleSize val="0"/>
        </c:dLbls>
        <c:gapWidth val="182"/>
        <c:axId val="1963574688"/>
        <c:axId val="1963565984"/>
      </c:barChart>
      <c:catAx>
        <c:axId val="19635746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3565984"/>
        <c:crosses val="autoZero"/>
        <c:auto val="1"/>
        <c:lblAlgn val="ctr"/>
        <c:lblOffset val="100"/>
        <c:noMultiLvlLbl val="0"/>
      </c:catAx>
      <c:valAx>
        <c:axId val="196356598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357468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a:outerShdw blurRad="50800" dist="38100" algn="l" rotWithShape="0">
        <a:prstClr val="black">
          <a:alpha val="40000"/>
        </a:prstClr>
      </a:outerShdw>
    </a:effectLst>
  </c:spPr>
  <c:txPr>
    <a:bodyPr/>
    <a:lstStyle/>
    <a:p>
      <a:pPr>
        <a:defRPr/>
      </a:pPr>
      <a:endParaRPr lang="en-US"/>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[blinkit_dataset.xlsx]Product Pivot!PivotTable21</c:name>
    <c:fmtId val="-1"/>
  </c:pivotSource>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baseline="0"/>
              <a:t> payment methods</a:t>
            </a:r>
            <a:endParaRPr lang="en-US"/>
          </a:p>
        </c:rich>
      </c:tx>
      <c:layout>
        <c:manualLayout>
          <c:xMode val="edge"/>
          <c:yMode val="edge"/>
          <c:x val="0.13428550002678236"/>
          <c:y val="0"/>
        </c:manualLayout>
      </c:layout>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xmlns:c16r2="http://schemas.microsoft.com/office/drawing/2015/06/chart">
            <c:ext xmlns:c15="http://schemas.microsoft.com/office/drawing/2012/chart" uri="{CE6537A1-D6FC-4f65-9D91-7224C49458BB}"/>
          </c:extLst>
        </c:dLbl>
      </c:pivotFmt>
      <c:pivotFmt>
        <c:idx val="2"/>
        <c:spPr>
          <a:solidFill>
            <a:schemeClr val="accent4"/>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xmlns:c16r2="http://schemas.microsoft.com/office/drawing/2015/06/chart">
            <c:ext xmlns:c15="http://schemas.microsoft.com/office/drawing/2012/chart" uri="{CE6537A1-D6FC-4f65-9D91-7224C49458BB}"/>
          </c:extLst>
        </c:dLbl>
      </c:pivotFmt>
      <c:pivotFmt>
        <c:idx val="3"/>
        <c:spPr>
          <a:solidFill>
            <a:schemeClr val="accent3"/>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xmlns:c16r2="http://schemas.microsoft.com/office/drawing/2015/06/chart">
            <c:ext xmlns:c15="http://schemas.microsoft.com/office/drawing/2012/chart" uri="{CE6537A1-D6FC-4f65-9D91-7224C49458BB}"/>
          </c:extLst>
        </c:dLbl>
      </c:pivotFmt>
      <c:pivotFmt>
        <c:idx val="4"/>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xmlns:c16r2="http://schemas.microsoft.com/office/drawing/2015/06/chart">
            <c:ext xmlns:c15="http://schemas.microsoft.com/office/drawing/2012/chart" uri="{CE6537A1-D6FC-4f65-9D91-7224C49458BB}"/>
          </c:extLst>
        </c:dLbl>
      </c:pivotFmt>
      <c:pivotFmt>
        <c:idx val="5"/>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xmlns:c16r2="http://schemas.microsoft.com/office/drawing/2015/06/chart">
            <c:ext xmlns:c15="http://schemas.microsoft.com/office/drawing/2012/chart" uri="{CE6537A1-D6FC-4f65-9D91-7224C49458BB}"/>
          </c:extLst>
        </c:dLbl>
      </c:pivotFmt>
      <c:pivotFmt>
        <c:idx val="6"/>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xmlns:c16r2="http://schemas.microsoft.com/office/drawing/2015/06/chart">
            <c:ext xmlns:c15="http://schemas.microsoft.com/office/drawing/2012/chart" uri="{CE6537A1-D6FC-4f65-9D91-7224C49458BB}"/>
          </c:extLst>
        </c:dLbl>
      </c:pivotFmt>
      <c:pivotFmt>
        <c:idx val="7"/>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xmlns:c16r2="http://schemas.microsoft.com/office/drawing/2015/06/chart">
            <c:ext xmlns:c15="http://schemas.microsoft.com/office/drawing/2012/chart" uri="{CE6537A1-D6FC-4f65-9D91-7224C49458BB}"/>
          </c:extLst>
        </c:dLbl>
      </c:pivotFmt>
      <c:pivotFmt>
        <c:idx val="8"/>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xmlns:c16r2="http://schemas.microsoft.com/office/drawing/2015/06/chart">
            <c:ext xmlns:c15="http://schemas.microsoft.com/office/drawing/2012/chart" uri="{CE6537A1-D6FC-4f65-9D91-7224C49458BB}"/>
          </c:extLst>
        </c:dLbl>
      </c:pivotFmt>
      <c:pivotFmt>
        <c:idx val="9"/>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xmlns:c16r2="http://schemas.microsoft.com/office/drawing/2015/06/chart">
            <c:ext xmlns:c15="http://schemas.microsoft.com/office/drawing/2012/chart" uri="{CE6537A1-D6FC-4f65-9D91-7224C49458BB}"/>
          </c:extLst>
        </c:dLbl>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xmlns:c16r2="http://schemas.microsoft.com/office/drawing/2015/06/chart">
            <c:ext xmlns:c15="http://schemas.microsoft.com/office/drawing/2012/chart" uri="{CE6537A1-D6FC-4f65-9D91-7224C49458BB}"/>
          </c:extLst>
        </c:dLbl>
      </c:pivotFmt>
      <c:pivotFmt>
        <c:idx val="11"/>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12"/>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13"/>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14"/>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15"/>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17"/>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18"/>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19"/>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20"/>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22"/>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23"/>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24"/>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25"/>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27"/>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28"/>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29"/>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30"/>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32"/>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33"/>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
        <c:idx val="34"/>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pivotFmt>
    </c:pivotFmts>
    <c:plotArea>
      <c:layout>
        <c:manualLayout>
          <c:layoutTarget val="inner"/>
          <c:xMode val="edge"/>
          <c:yMode val="edge"/>
          <c:x val="0.19337834839162138"/>
          <c:y val="0.15068591426071742"/>
          <c:w val="0.70759612191333221"/>
          <c:h val="0.72233770778652673"/>
        </c:manualLayout>
      </c:layout>
      <c:pieChart>
        <c:varyColors val="1"/>
        <c:ser>
          <c:idx val="0"/>
          <c:order val="0"/>
          <c:tx>
            <c:strRef>
              <c:f>'Product Pivot'!$I$21</c:f>
              <c:strCache>
                <c:ptCount val="1"/>
                <c:pt idx="0">
                  <c:v>Total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xmlns:c16r2="http://schemas.microsoft.com/office/drawing/2015/06/chart">
              <c:ext xmlns:c16="http://schemas.microsoft.com/office/drawing/2014/chart" uri="{C3380CC4-5D6E-409C-BE32-E72D297353CC}">
                <c16:uniqueId val="{00000001-3D48-4EF1-ADE0-66D06687F6D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xmlns:c16r2="http://schemas.microsoft.com/office/drawing/2015/06/chart">
              <c:ext xmlns:c16="http://schemas.microsoft.com/office/drawing/2014/chart" uri="{C3380CC4-5D6E-409C-BE32-E72D297353CC}">
                <c16:uniqueId val="{00000003-3D48-4EF1-ADE0-66D06687F6DA}"/>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xmlns:c16r2="http://schemas.microsoft.com/office/drawing/2015/06/chart">
              <c:ext xmlns:c16="http://schemas.microsoft.com/office/drawing/2014/chart" uri="{C3380CC4-5D6E-409C-BE32-E72D297353CC}">
                <c16:uniqueId val="{00000005-3D48-4EF1-ADE0-66D06687F6DA}"/>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xmlns:c16r2="http://schemas.microsoft.com/office/drawing/2015/06/chart">
              <c:ext xmlns:c16="http://schemas.microsoft.com/office/drawing/2014/chart" uri="{C3380CC4-5D6E-409C-BE32-E72D297353CC}">
                <c16:uniqueId val="{00000007-3D48-4EF1-ADE0-66D06687F6DA}"/>
              </c:ext>
            </c:extLst>
          </c:dPt>
          <c:dLbls>
            <c:dLbl>
              <c:idx val="0"/>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dLbl>
              <c:idx val="1"/>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dLbl>
              <c:idx val="2"/>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dLbl>
              <c:idx val="3"/>
              <c:spPr>
                <a:noFill/>
                <a:ln>
                  <a:noFill/>
                </a:ln>
                <a:effectLst/>
              </c:spPr>
              <c:txPr>
                <a:bodyPr rot="0" spcFirstLastPara="1" vertOverflow="ellipsis" horzOverflow="clip"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xmlns:c16r2="http://schemas.microsoft.com/office/drawing/2015/06/chart">
                <c:ext xmlns:c15="http://schemas.microsoft.com/office/drawing/2012/chart" uri="{CE6537A1-D6FC-4f65-9D91-7224C49458BB}">
                  <c15:spPr xmlns:c15="http://schemas.microsoft.com/office/drawing/2012/chart">
                    <a:prstGeom prst="rect">
                      <a:avLst/>
                    </a:prstGeom>
                    <a:noFill/>
                    <a:ln>
                      <a:noFill/>
                    </a:ln>
                  </c15:spPr>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'Product Pivot'!$H$22:$H$26</c:f>
              <c:strCache>
                <c:ptCount val="4"/>
                <c:pt idx="0">
                  <c:v>Card</c:v>
                </c:pt>
                <c:pt idx="1">
                  <c:v>Cash</c:v>
                </c:pt>
                <c:pt idx="2">
                  <c:v>UPI</c:v>
                </c:pt>
                <c:pt idx="3">
                  <c:v>Wallet</c:v>
                </c:pt>
              </c:strCache>
            </c:strRef>
          </c:cat>
          <c:val>
            <c:numRef>
              <c:f>'Product Pivot'!$I$22:$I$26</c:f>
              <c:numCache>
                <c:formatCode>General</c:formatCode>
                <c:ptCount val="4"/>
                <c:pt idx="0">
                  <c:v>1285</c:v>
                </c:pt>
                <c:pt idx="1">
                  <c:v>1257</c:v>
                </c:pt>
                <c:pt idx="2">
                  <c:v>1214</c:v>
                </c:pt>
                <c:pt idx="3">
                  <c:v>1244</c:v>
                </c:pt>
              </c:numCache>
            </c:numRef>
          </c:val>
          <c:extLst xmlns:c16r2="http://schemas.microsoft.com/office/drawing/2015/06/chart">
            <c:ext xmlns:c16="http://schemas.microsoft.com/office/drawing/2014/chart" uri="{C3380CC4-5D6E-409C-BE32-E72D297353CC}">
              <c16:uniqueId val="{00000008-3D48-4EF1-ADE0-66D06687F6D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a:outerShdw blurRad="50800" dist="38100" algn="l" rotWithShape="0">
        <a:prstClr val="black">
          <a:alpha val="40000"/>
        </a:prstClr>
      </a:outerShdw>
    </a:effectLst>
  </c:spPr>
  <c:txPr>
    <a:bodyPr/>
    <a:lstStyle/>
    <a:p>
      <a:pPr>
        <a:defRPr/>
      </a:pPr>
      <a:endParaRPr lang="en-US"/>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[blinkit_dataset.xlsx]customer_pivot!PivotTable15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effectLst/>
              </a:rPr>
              <a:t>Year-Month wise Revenue</a:t>
            </a:r>
            <a:r>
              <a:rPr lang="en-IN" sz="1400" b="0" i="0" u="none" strike="noStrike" baseline="0"/>
              <a:t>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38"/>
        <c:spPr>
          <a:solidFill>
            <a:schemeClr val="accent1"/>
          </a:solidFill>
          <a:ln w="28575" cap="flat">
            <a:solidFill>
              <a:schemeClr val="accent1"/>
            </a:solidFill>
            <a:round/>
          </a:ln>
          <a:effectLst/>
        </c:spPr>
        <c:marker>
          <c:symbol val="none"/>
        </c:marker>
      </c:pivotFmt>
      <c:pivotFmt>
        <c:idx val="39"/>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0"/>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1"/>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2"/>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3"/>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4"/>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5"/>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6"/>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7"/>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8"/>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9"/>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0"/>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1"/>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2"/>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3"/>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4"/>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5"/>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6"/>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7"/>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8"/>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9"/>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0"/>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1"/>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2"/>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3"/>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4"/>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5"/>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6"/>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7"/>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8"/>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9"/>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0"/>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1"/>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2"/>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3"/>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4"/>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5"/>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6"/>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7"/>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8"/>
        <c:spPr>
          <a:solidFill>
            <a:schemeClr val="accent1"/>
          </a:solidFill>
          <a:ln w="28575" cap="rnd">
            <a:solidFill>
              <a:schemeClr val="accent1"/>
            </a:solidFill>
            <a:round/>
          </a:ln>
          <a:effectLst/>
        </c:spPr>
        <c:marker>
          <c:symbol val="none"/>
        </c:marker>
        <c:dLbl>
          <c:idx val="0"/>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8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81"/>
        <c:spPr>
          <a:solidFill>
            <a:schemeClr val="accent1"/>
          </a:solidFill>
          <a:ln w="28575" cap="flat">
            <a:solidFill>
              <a:schemeClr val="accent1"/>
            </a:solidFill>
            <a:round/>
          </a:ln>
          <a:effectLst/>
        </c:spPr>
        <c:marker>
          <c:symbol val="none"/>
        </c:marker>
      </c:pivotFmt>
      <c:pivotFmt>
        <c:idx val="8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83"/>
        <c:spPr>
          <a:solidFill>
            <a:schemeClr val="accent1"/>
          </a:solidFill>
          <a:ln w="28575" cap="flat">
            <a:solidFill>
              <a:schemeClr val="accent1"/>
            </a:solidFill>
            <a:round/>
          </a:ln>
          <a:effectLst/>
        </c:spPr>
        <c:marker>
          <c:symbol val="none"/>
        </c:marker>
      </c:pivotFmt>
    </c:pivotFmts>
    <c:plotArea>
      <c:layout/>
      <c:lineChart>
        <c:grouping val="standard"/>
        <c:varyColors val="0"/>
        <c:ser>
          <c:idx val="0"/>
          <c:order val="0"/>
          <c:tx>
            <c:strRef>
              <c:f>customer_pivot!$L$3:$L$4</c:f>
              <c:strCache>
                <c:ptCount val="1"/>
                <c:pt idx="0">
                  <c:v>First Order</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multiLvlStrRef>
              <c:f>customer_pivot!$K$5:$K$28</c:f>
              <c:multiLvlStrCache>
                <c:ptCount val="21"/>
                <c:lvl>
                  <c:pt idx="0">
                    <c:v>03</c:v>
                  </c:pt>
                  <c:pt idx="1">
                    <c:v>04</c:v>
                  </c:pt>
                  <c:pt idx="2">
                    <c:v>05</c:v>
                  </c:pt>
                  <c:pt idx="3">
                    <c:v>06</c:v>
                  </c:pt>
                  <c:pt idx="4">
                    <c:v>07</c:v>
                  </c:pt>
                  <c:pt idx="5">
                    <c:v>08</c:v>
                  </c:pt>
                  <c:pt idx="6">
                    <c:v>09</c:v>
                  </c:pt>
                  <c:pt idx="7">
                    <c:v>10</c:v>
                  </c:pt>
                  <c:pt idx="8">
                    <c:v>11</c:v>
                  </c:pt>
                  <c:pt idx="9">
                    <c:v>12</c:v>
                  </c:pt>
                  <c:pt idx="10">
                    <c:v>01</c:v>
                  </c:pt>
                  <c:pt idx="11">
                    <c:v>02</c:v>
                  </c:pt>
                  <c:pt idx="12">
                    <c:v>03</c:v>
                  </c:pt>
                  <c:pt idx="13">
                    <c:v>04</c:v>
                  </c:pt>
                  <c:pt idx="14">
                    <c:v>05</c:v>
                  </c:pt>
                  <c:pt idx="15">
                    <c:v>06</c:v>
                  </c:pt>
                  <c:pt idx="16">
                    <c:v>07</c:v>
                  </c:pt>
                  <c:pt idx="17">
                    <c:v>08</c:v>
                  </c:pt>
                  <c:pt idx="18">
                    <c:v>09</c:v>
                  </c:pt>
                  <c:pt idx="19">
                    <c:v>10</c:v>
                  </c:pt>
                  <c:pt idx="20">
                    <c:v>11</c:v>
                  </c:pt>
                </c:lvl>
                <c:lvl>
                  <c:pt idx="0">
                    <c:v>2023</c:v>
                  </c:pt>
                  <c:pt idx="10">
                    <c:v>2024</c:v>
                  </c:pt>
                </c:lvl>
              </c:multiLvlStrCache>
            </c:multiLvlStrRef>
          </c:cat>
          <c:val>
            <c:numRef>
              <c:f>customer_pivot!$L$5:$L$28</c:f>
              <c:numCache>
                <c:formatCode>General</c:formatCode>
                <c:ptCount val="21"/>
                <c:pt idx="0">
                  <c:v>267726.90999999997</c:v>
                </c:pt>
                <c:pt idx="1">
                  <c:v>502202.68999999971</c:v>
                </c:pt>
                <c:pt idx="2">
                  <c:v>513800.25999999995</c:v>
                </c:pt>
                <c:pt idx="3">
                  <c:v>384858.7900000001</c:v>
                </c:pt>
                <c:pt idx="4">
                  <c:v>402438.91000000009</c:v>
                </c:pt>
                <c:pt idx="5">
                  <c:v>355857.92999999982</c:v>
                </c:pt>
                <c:pt idx="6">
                  <c:v>315803.15000000008</c:v>
                </c:pt>
                <c:pt idx="7">
                  <c:v>318994.05999999988</c:v>
                </c:pt>
                <c:pt idx="8">
                  <c:v>257855.21000000002</c:v>
                </c:pt>
                <c:pt idx="9">
                  <c:v>241099.63999999996</c:v>
                </c:pt>
                <c:pt idx="10">
                  <c:v>179864.24000000002</c:v>
                </c:pt>
                <c:pt idx="11">
                  <c:v>172097.85</c:v>
                </c:pt>
                <c:pt idx="12">
                  <c:v>138500.64000000001</c:v>
                </c:pt>
                <c:pt idx="13">
                  <c:v>159098.74000000002</c:v>
                </c:pt>
                <c:pt idx="14">
                  <c:v>117698.12000000002</c:v>
                </c:pt>
                <c:pt idx="15">
                  <c:v>109027.97000000003</c:v>
                </c:pt>
                <c:pt idx="16">
                  <c:v>102176.83</c:v>
                </c:pt>
                <c:pt idx="17">
                  <c:v>98489.359999999986</c:v>
                </c:pt>
                <c:pt idx="18">
                  <c:v>88802.43</c:v>
                </c:pt>
                <c:pt idx="19">
                  <c:v>63192.349999999984</c:v>
                </c:pt>
                <c:pt idx="20">
                  <c:v>11156.220000000001</c:v>
                </c:pt>
              </c:numCache>
            </c:numRef>
          </c:val>
          <c:smooth val="0"/>
          <c:extLst xmlns:c16r2="http://schemas.microsoft.com/office/drawing/2015/06/chart">
            <c:ext xmlns:c16="http://schemas.microsoft.com/office/drawing/2014/chart" uri="{C3380CC4-5D6E-409C-BE32-E72D297353CC}">
              <c16:uniqueId val="{00000000-F310-423C-B083-21E2442A5220}"/>
            </c:ext>
          </c:extLst>
        </c:ser>
        <c:ser>
          <c:idx val="1"/>
          <c:order val="1"/>
          <c:tx>
            <c:strRef>
              <c:f>customer_pivot!$M$3:$M$4</c:f>
              <c:strCache>
                <c:ptCount val="1"/>
                <c:pt idx="0">
                  <c:v>Repeat Order</c:v>
                </c:pt>
              </c:strCache>
            </c:strRef>
          </c:tx>
          <c:spPr>
            <a:ln w="28575" cap="flat">
              <a:solidFill>
                <a:schemeClr val="accent2"/>
              </a:solidFill>
              <a:round/>
            </a:ln>
            <a:effectLst/>
          </c:spPr>
          <c:marker>
            <c:symbol val="none"/>
          </c:marker>
          <c:cat>
            <c:multiLvlStrRef>
              <c:f>customer_pivot!$K$5:$K$28</c:f>
              <c:multiLvlStrCache>
                <c:ptCount val="21"/>
                <c:lvl>
                  <c:pt idx="0">
                    <c:v>03</c:v>
                  </c:pt>
                  <c:pt idx="1">
                    <c:v>04</c:v>
                  </c:pt>
                  <c:pt idx="2">
                    <c:v>05</c:v>
                  </c:pt>
                  <c:pt idx="3">
                    <c:v>06</c:v>
                  </c:pt>
                  <c:pt idx="4">
                    <c:v>07</c:v>
                  </c:pt>
                  <c:pt idx="5">
                    <c:v>08</c:v>
                  </c:pt>
                  <c:pt idx="6">
                    <c:v>09</c:v>
                  </c:pt>
                  <c:pt idx="7">
                    <c:v>10</c:v>
                  </c:pt>
                  <c:pt idx="8">
                    <c:v>11</c:v>
                  </c:pt>
                  <c:pt idx="9">
                    <c:v>12</c:v>
                  </c:pt>
                  <c:pt idx="10">
                    <c:v>01</c:v>
                  </c:pt>
                  <c:pt idx="11">
                    <c:v>02</c:v>
                  </c:pt>
                  <c:pt idx="12">
                    <c:v>03</c:v>
                  </c:pt>
                  <c:pt idx="13">
                    <c:v>04</c:v>
                  </c:pt>
                  <c:pt idx="14">
                    <c:v>05</c:v>
                  </c:pt>
                  <c:pt idx="15">
                    <c:v>06</c:v>
                  </c:pt>
                  <c:pt idx="16">
                    <c:v>07</c:v>
                  </c:pt>
                  <c:pt idx="17">
                    <c:v>08</c:v>
                  </c:pt>
                  <c:pt idx="18">
                    <c:v>09</c:v>
                  </c:pt>
                  <c:pt idx="19">
                    <c:v>10</c:v>
                  </c:pt>
                  <c:pt idx="20">
                    <c:v>11</c:v>
                  </c:pt>
                </c:lvl>
                <c:lvl>
                  <c:pt idx="0">
                    <c:v>2023</c:v>
                  </c:pt>
                  <c:pt idx="10">
                    <c:v>2024</c:v>
                  </c:pt>
                </c:lvl>
              </c:multiLvlStrCache>
            </c:multiLvlStrRef>
          </c:cat>
          <c:val>
            <c:numRef>
              <c:f>customer_pivot!$M$5:$M$28</c:f>
              <c:numCache>
                <c:formatCode>General</c:formatCode>
                <c:ptCount val="21"/>
                <c:pt idx="0">
                  <c:v>5152.05</c:v>
                </c:pt>
                <c:pt idx="1">
                  <c:v>52142.079999999994</c:v>
                </c:pt>
                <c:pt idx="2">
                  <c:v>94413.279999999984</c:v>
                </c:pt>
                <c:pt idx="3">
                  <c:v>120368.87</c:v>
                </c:pt>
                <c:pt idx="4">
                  <c:v>165200.99999999997</c:v>
                </c:pt>
                <c:pt idx="5">
                  <c:v>267614.42</c:v>
                </c:pt>
                <c:pt idx="6">
                  <c:v>255314.65999999997</c:v>
                </c:pt>
                <c:pt idx="7">
                  <c:v>259375.77</c:v>
                </c:pt>
                <c:pt idx="8">
                  <c:v>309928.53000000009</c:v>
                </c:pt>
                <c:pt idx="9">
                  <c:v>374609.38999999978</c:v>
                </c:pt>
                <c:pt idx="10">
                  <c:v>380559.32</c:v>
                </c:pt>
                <c:pt idx="11">
                  <c:v>372992.25999999983</c:v>
                </c:pt>
                <c:pt idx="12">
                  <c:v>404681.20999999996</c:v>
                </c:pt>
                <c:pt idx="13">
                  <c:v>379656.01000000007</c:v>
                </c:pt>
                <c:pt idx="14">
                  <c:v>456465.48999999993</c:v>
                </c:pt>
                <c:pt idx="15">
                  <c:v>430046.88000000018</c:v>
                </c:pt>
                <c:pt idx="16">
                  <c:v>470935.1500000002</c:v>
                </c:pt>
                <c:pt idx="17">
                  <c:v>447705.2099999999</c:v>
                </c:pt>
                <c:pt idx="18">
                  <c:v>429892.60000000021</c:v>
                </c:pt>
                <c:pt idx="19">
                  <c:v>474510.59000000008</c:v>
                </c:pt>
                <c:pt idx="20">
                  <c:v>57001.43</c:v>
                </c:pt>
              </c:numCache>
            </c:numRef>
          </c:val>
          <c:smooth val="0"/>
          <c:extLst xmlns:c16r2="http://schemas.microsoft.com/office/drawing/2015/06/chart">
            <c:ext xmlns:c16="http://schemas.microsoft.com/office/drawing/2014/chart" uri="{C3380CC4-5D6E-409C-BE32-E72D297353CC}">
              <c16:uniqueId val="{00000001-32D0-4C53-891D-6910F7F6D709}"/>
            </c:ext>
          </c:extLst>
        </c:ser>
        <c:dLbls>
          <c:showLegendKey val="0"/>
          <c:showVal val="0"/>
          <c:showCatName val="0"/>
          <c:showSerName val="0"/>
          <c:showPercent val="0"/>
          <c:showBubbleSize val="0"/>
        </c:dLbls>
        <c:marker val="1"/>
        <c:smooth val="0"/>
        <c:axId val="2064740656"/>
        <c:axId val="2064752080"/>
      </c:lineChart>
      <c:catAx>
        <c:axId val="206474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4752080"/>
        <c:crosses val="autoZero"/>
        <c:auto val="1"/>
        <c:lblAlgn val="ctr"/>
        <c:lblOffset val="100"/>
        <c:noMultiLvlLbl val="0"/>
      </c:catAx>
      <c:valAx>
        <c:axId val="2064752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4740656"/>
        <c:crosses val="autoZero"/>
        <c:crossBetween val="between"/>
      </c:valAx>
      <c:spPr>
        <a:noFill/>
        <a:ln>
          <a:noFill/>
        </a:ln>
        <a:effectLst/>
      </c:spPr>
    </c:plotArea>
    <c:legend>
      <c:legendPos val="b"/>
      <c:layout>
        <c:manualLayout>
          <c:xMode val="edge"/>
          <c:yMode val="edge"/>
          <c:x val="0.3571896862623582"/>
          <c:y val="0.85477103805768928"/>
          <c:w val="0.39924113459688293"/>
          <c:h val="8.019857111423453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a:outerShdw blurRad="50800" dist="38100" algn="l" rotWithShape="0">
        <a:prstClr val="black">
          <a:alpha val="40000"/>
        </a:prstClr>
      </a:outerShdw>
    </a:effectLst>
  </c:spPr>
  <c:txPr>
    <a:bodyPr/>
    <a:lstStyle/>
    <a:p>
      <a:pPr>
        <a:defRPr/>
      </a:pPr>
      <a:endParaRPr lang="en-US"/>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[blinkit_dataset.xlsx]Product Pivot!PivotTable8</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Margin Analysis</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w="28575" cap="rnd">
            <a:solidFill>
              <a:schemeClr val="accent1"/>
            </a:solidFill>
            <a:round/>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w="28575" cap="rnd">
            <a:solidFill>
              <a:schemeClr val="accent1"/>
            </a:solidFill>
            <a:round/>
          </a:ln>
          <a:effectLst/>
        </c:spPr>
        <c:marker>
          <c:symbol val="none"/>
        </c:marker>
      </c:pivotFmt>
      <c:pivotFmt>
        <c:idx val="6"/>
        <c:spPr>
          <a:solidFill>
            <a:schemeClr val="accent1"/>
          </a:solidFill>
          <a:ln>
            <a:noFill/>
          </a:ln>
          <a:effectLst/>
        </c:spPr>
        <c:marker>
          <c:symbol val="none"/>
        </c:marker>
      </c:pivotFmt>
      <c:pivotFmt>
        <c:idx val="7"/>
        <c:spPr>
          <a:solidFill>
            <a:schemeClr val="accent1"/>
          </a:solidFill>
          <a:ln>
            <a:noFill/>
          </a:ln>
          <a:effectLst/>
        </c:spPr>
        <c:marker>
          <c:symbol val="none"/>
        </c:marker>
      </c:pivotFmt>
      <c:pivotFmt>
        <c:idx val="8"/>
        <c:spPr>
          <a:solidFill>
            <a:schemeClr val="accent1"/>
          </a:solidFill>
          <a:ln w="28575" cap="rnd">
            <a:solidFill>
              <a:schemeClr val="accent1"/>
            </a:solidFill>
            <a:round/>
          </a:ln>
          <a:effectLst/>
        </c:spPr>
        <c:marker>
          <c:symbol val="none"/>
        </c:marker>
      </c:pivotFmt>
      <c:pivotFmt>
        <c:idx val="9"/>
        <c:spPr>
          <a:solidFill>
            <a:schemeClr val="accent1"/>
          </a:solidFill>
          <a:ln>
            <a:noFill/>
          </a:ln>
          <a:effectLst/>
        </c:spPr>
        <c:marker>
          <c:symbol val="none"/>
        </c:marker>
      </c:pivotFmt>
      <c:pivotFmt>
        <c:idx val="10"/>
        <c:spPr>
          <a:solidFill>
            <a:schemeClr val="accent1"/>
          </a:solidFill>
          <a:ln>
            <a:noFill/>
          </a:ln>
          <a:effectLst/>
        </c:spPr>
        <c:marker>
          <c:symbol val="none"/>
        </c:marker>
      </c:pivotFmt>
      <c:pivotFmt>
        <c:idx val="11"/>
        <c:spPr>
          <a:solidFill>
            <a:schemeClr val="accent1"/>
          </a:solidFill>
          <a:ln w="28575" cap="rnd">
            <a:solidFill>
              <a:schemeClr val="accent1"/>
            </a:solidFill>
            <a:round/>
          </a:ln>
          <a:effectLst/>
        </c:spPr>
        <c:marker>
          <c:symbol val="none"/>
        </c:marker>
      </c:pivotFmt>
      <c:pivotFmt>
        <c:idx val="12"/>
        <c:spPr>
          <a:solidFill>
            <a:schemeClr val="accent1"/>
          </a:solidFill>
          <a:ln>
            <a:noFill/>
          </a:ln>
          <a:effectLst/>
        </c:spPr>
        <c:marker>
          <c:symbol val="none"/>
        </c:marker>
      </c:pivotFmt>
      <c:pivotFmt>
        <c:idx val="13"/>
        <c:spPr>
          <a:solidFill>
            <a:schemeClr val="accent1"/>
          </a:solidFill>
          <a:ln>
            <a:noFill/>
          </a:ln>
          <a:effectLst/>
        </c:spPr>
        <c:marker>
          <c:symbol val="none"/>
        </c:marker>
      </c:pivotFmt>
      <c:pivotFmt>
        <c:idx val="14"/>
        <c:spPr>
          <a:solidFill>
            <a:schemeClr val="accent1"/>
          </a:solidFill>
          <a:ln w="28575" cap="rnd">
            <a:solidFill>
              <a:schemeClr val="accent1"/>
            </a:solidFill>
            <a:round/>
          </a:ln>
          <a:effectLst/>
        </c:spPr>
        <c:marker>
          <c:symbol val="none"/>
        </c:marker>
      </c:pivotFmt>
    </c:pivotFmts>
    <c:plotArea>
      <c:layout/>
      <c:barChart>
        <c:barDir val="col"/>
        <c:grouping val="clustered"/>
        <c:varyColors val="0"/>
        <c:ser>
          <c:idx val="0"/>
          <c:order val="0"/>
          <c:tx>
            <c:strRef>
              <c:f>'Product Pivot'!$M$5</c:f>
              <c:strCache>
                <c:ptCount val="1"/>
                <c:pt idx="0">
                  <c:v>Sum of Revenue</c:v>
                </c:pt>
              </c:strCache>
            </c:strRef>
          </c:tx>
          <c:spPr>
            <a:solidFill>
              <a:schemeClr val="accent1"/>
            </a:solidFill>
            <a:ln>
              <a:noFill/>
            </a:ln>
            <a:effectLst/>
          </c:spPr>
          <c:invertIfNegative val="0"/>
          <c:cat>
            <c:strRef>
              <c:f>'Product Pivot'!$L$6:$L$17</c:f>
              <c:strCache>
                <c:ptCount val="11"/>
                <c:pt idx="0">
                  <c:v>Baby Care</c:v>
                </c:pt>
                <c:pt idx="1">
                  <c:v>Cold Drinks &amp; Juices</c:v>
                </c:pt>
                <c:pt idx="2">
                  <c:v>Dairy &amp; Breakfast</c:v>
                </c:pt>
                <c:pt idx="3">
                  <c:v>Fruits &amp; Vegetables</c:v>
                </c:pt>
                <c:pt idx="4">
                  <c:v>Grocery &amp; Staples</c:v>
                </c:pt>
                <c:pt idx="5">
                  <c:v>Household Care</c:v>
                </c:pt>
                <c:pt idx="6">
                  <c:v>Instant &amp; Frozen Food</c:v>
                </c:pt>
                <c:pt idx="7">
                  <c:v>Personal Care</c:v>
                </c:pt>
                <c:pt idx="8">
                  <c:v>Pet Care</c:v>
                </c:pt>
                <c:pt idx="9">
                  <c:v>Pharmacy</c:v>
                </c:pt>
                <c:pt idx="10">
                  <c:v>Snacks &amp; Munchies</c:v>
                </c:pt>
              </c:strCache>
            </c:strRef>
          </c:cat>
          <c:val>
            <c:numRef>
              <c:f>'Product Pivot'!$M$6:$M$17</c:f>
              <c:numCache>
                <c:formatCode>General</c:formatCode>
                <c:ptCount val="11"/>
                <c:pt idx="0">
                  <c:v>348227.18000000011</c:v>
                </c:pt>
                <c:pt idx="1">
                  <c:v>392717.62000000011</c:v>
                </c:pt>
                <c:pt idx="2">
                  <c:v>639222.18999999948</c:v>
                </c:pt>
                <c:pt idx="3">
                  <c:v>559053.08000000066</c:v>
                </c:pt>
                <c:pt idx="4">
                  <c:v>359937.82000000041</c:v>
                </c:pt>
                <c:pt idx="5">
                  <c:v>444244.25000000041</c:v>
                </c:pt>
                <c:pt idx="6">
                  <c:v>307212.6499999995</c:v>
                </c:pt>
                <c:pt idx="7">
                  <c:v>394894.61000000051</c:v>
                </c:pt>
                <c:pt idx="8">
                  <c:v>539888.75000000093</c:v>
                </c:pt>
                <c:pt idx="9">
                  <c:v>592368.57000000088</c:v>
                </c:pt>
                <c:pt idx="10">
                  <c:v>394648.70999999956</c:v>
                </c:pt>
              </c:numCache>
            </c:numRef>
          </c:val>
          <c:extLst xmlns:c16r2="http://schemas.microsoft.com/office/drawing/2015/06/chart">
            <c:ext xmlns:c16="http://schemas.microsoft.com/office/drawing/2014/chart" uri="{C3380CC4-5D6E-409C-BE32-E72D297353CC}">
              <c16:uniqueId val="{00000000-3579-4EB9-B717-0327B1B32E8D}"/>
            </c:ext>
          </c:extLst>
        </c:ser>
        <c:ser>
          <c:idx val="1"/>
          <c:order val="1"/>
          <c:tx>
            <c:strRef>
              <c:f>'Product Pivot'!$N$5</c:f>
              <c:strCache>
                <c:ptCount val="1"/>
                <c:pt idx="0">
                  <c:v>Sum of gross margin</c:v>
                </c:pt>
              </c:strCache>
            </c:strRef>
          </c:tx>
          <c:spPr>
            <a:solidFill>
              <a:schemeClr val="accent2"/>
            </a:solidFill>
            <a:ln>
              <a:noFill/>
            </a:ln>
            <a:effectLst/>
          </c:spPr>
          <c:invertIfNegative val="0"/>
          <c:cat>
            <c:strRef>
              <c:f>'Product Pivot'!$L$6:$L$17</c:f>
              <c:strCache>
                <c:ptCount val="11"/>
                <c:pt idx="0">
                  <c:v>Baby Care</c:v>
                </c:pt>
                <c:pt idx="1">
                  <c:v>Cold Drinks &amp; Juices</c:v>
                </c:pt>
                <c:pt idx="2">
                  <c:v>Dairy &amp; Breakfast</c:v>
                </c:pt>
                <c:pt idx="3">
                  <c:v>Fruits &amp; Vegetables</c:v>
                </c:pt>
                <c:pt idx="4">
                  <c:v>Grocery &amp; Staples</c:v>
                </c:pt>
                <c:pt idx="5">
                  <c:v>Household Care</c:v>
                </c:pt>
                <c:pt idx="6">
                  <c:v>Instant &amp; Frozen Food</c:v>
                </c:pt>
                <c:pt idx="7">
                  <c:v>Personal Care</c:v>
                </c:pt>
                <c:pt idx="8">
                  <c:v>Pet Care</c:v>
                </c:pt>
                <c:pt idx="9">
                  <c:v>Pharmacy</c:v>
                </c:pt>
                <c:pt idx="10">
                  <c:v>Snacks &amp; Munchies</c:v>
                </c:pt>
              </c:strCache>
            </c:strRef>
          </c:cat>
          <c:val>
            <c:numRef>
              <c:f>'Product Pivot'!$N$6:$N$17</c:f>
              <c:numCache>
                <c:formatCode>General</c:formatCode>
                <c:ptCount val="11"/>
                <c:pt idx="0">
                  <c:v>104468.15400000005</c:v>
                </c:pt>
                <c:pt idx="1">
                  <c:v>117815.28600000011</c:v>
                </c:pt>
                <c:pt idx="2">
                  <c:v>127844.4380000001</c:v>
                </c:pt>
                <c:pt idx="3">
                  <c:v>139763.27000000016</c:v>
                </c:pt>
                <c:pt idx="4">
                  <c:v>53990.673000000032</c:v>
                </c:pt>
                <c:pt idx="5">
                  <c:v>111061.0625000001</c:v>
                </c:pt>
                <c:pt idx="6">
                  <c:v>122885.06000000014</c:v>
                </c:pt>
                <c:pt idx="7">
                  <c:v>138213.11349999998</c:v>
                </c:pt>
                <c:pt idx="8">
                  <c:v>188961.06249999997</c:v>
                </c:pt>
                <c:pt idx="9">
                  <c:v>118473.71399999988</c:v>
                </c:pt>
                <c:pt idx="10">
                  <c:v>138127.04849999983</c:v>
                </c:pt>
              </c:numCache>
            </c:numRef>
          </c:val>
          <c:extLst xmlns:c16r2="http://schemas.microsoft.com/office/drawing/2015/06/chart">
            <c:ext xmlns:c16="http://schemas.microsoft.com/office/drawing/2014/chart" uri="{C3380CC4-5D6E-409C-BE32-E72D297353CC}">
              <c16:uniqueId val="{00000001-3579-4EB9-B717-0327B1B32E8D}"/>
            </c:ext>
          </c:extLst>
        </c:ser>
        <c:dLbls>
          <c:showLegendKey val="0"/>
          <c:showVal val="0"/>
          <c:showCatName val="0"/>
          <c:showSerName val="0"/>
          <c:showPercent val="0"/>
          <c:showBubbleSize val="0"/>
        </c:dLbls>
        <c:gapWidth val="219"/>
        <c:overlap val="-27"/>
        <c:axId val="2064750992"/>
        <c:axId val="2064746640"/>
      </c:barChart>
      <c:lineChart>
        <c:grouping val="standard"/>
        <c:varyColors val="0"/>
        <c:ser>
          <c:idx val="2"/>
          <c:order val="2"/>
          <c:tx>
            <c:strRef>
              <c:f>'Product Pivot'!$O$5</c:f>
              <c:strCache>
                <c:ptCount val="1"/>
                <c:pt idx="0">
                  <c:v>Average of margin %</c:v>
                </c:pt>
              </c:strCache>
            </c:strRef>
          </c:tx>
          <c:spPr>
            <a:ln w="28575" cap="rnd">
              <a:solidFill>
                <a:schemeClr val="accent3"/>
              </a:solidFill>
              <a:round/>
            </a:ln>
            <a:effectLst/>
          </c:spPr>
          <c:marker>
            <c:symbol val="none"/>
          </c:marker>
          <c:cat>
            <c:strRef>
              <c:f>'Product Pivot'!$L$6:$L$17</c:f>
              <c:strCache>
                <c:ptCount val="11"/>
                <c:pt idx="0">
                  <c:v>Baby Care</c:v>
                </c:pt>
                <c:pt idx="1">
                  <c:v>Cold Drinks &amp; Juices</c:v>
                </c:pt>
                <c:pt idx="2">
                  <c:v>Dairy &amp; Breakfast</c:v>
                </c:pt>
                <c:pt idx="3">
                  <c:v>Fruits &amp; Vegetables</c:v>
                </c:pt>
                <c:pt idx="4">
                  <c:v>Grocery &amp; Staples</c:v>
                </c:pt>
                <c:pt idx="5">
                  <c:v>Household Care</c:v>
                </c:pt>
                <c:pt idx="6">
                  <c:v>Instant &amp; Frozen Food</c:v>
                </c:pt>
                <c:pt idx="7">
                  <c:v>Personal Care</c:v>
                </c:pt>
                <c:pt idx="8">
                  <c:v>Pet Care</c:v>
                </c:pt>
                <c:pt idx="9">
                  <c:v>Pharmacy</c:v>
                </c:pt>
                <c:pt idx="10">
                  <c:v>Snacks &amp; Munchies</c:v>
                </c:pt>
              </c:strCache>
            </c:strRef>
          </c:cat>
          <c:val>
            <c:numRef>
              <c:f>'Product Pivot'!$O$6:$O$17</c:f>
              <c:numCache>
                <c:formatCode>General</c:formatCode>
                <c:ptCount val="11"/>
                <c:pt idx="0">
                  <c:v>30</c:v>
                </c:pt>
                <c:pt idx="1">
                  <c:v>30</c:v>
                </c:pt>
                <c:pt idx="2">
                  <c:v>20</c:v>
                </c:pt>
                <c:pt idx="3">
                  <c:v>25</c:v>
                </c:pt>
                <c:pt idx="4">
                  <c:v>15</c:v>
                </c:pt>
                <c:pt idx="5">
                  <c:v>25</c:v>
                </c:pt>
                <c:pt idx="6">
                  <c:v>40</c:v>
                </c:pt>
                <c:pt idx="7">
                  <c:v>35</c:v>
                </c:pt>
                <c:pt idx="8">
                  <c:v>35</c:v>
                </c:pt>
                <c:pt idx="9">
                  <c:v>20</c:v>
                </c:pt>
                <c:pt idx="10">
                  <c:v>35</c:v>
                </c:pt>
              </c:numCache>
            </c:numRef>
          </c:val>
          <c:smooth val="1"/>
          <c:extLst xmlns:c16r2="http://schemas.microsoft.com/office/drawing/2015/06/chart">
            <c:ext xmlns:c16="http://schemas.microsoft.com/office/drawing/2014/chart" uri="{C3380CC4-5D6E-409C-BE32-E72D297353CC}">
              <c16:uniqueId val="{00000002-3579-4EB9-B717-0327B1B32E8D}"/>
            </c:ext>
          </c:extLst>
        </c:ser>
        <c:dLbls>
          <c:showLegendKey val="0"/>
          <c:showVal val="0"/>
          <c:showCatName val="0"/>
          <c:showSerName val="0"/>
          <c:showPercent val="0"/>
          <c:showBubbleSize val="0"/>
        </c:dLbls>
        <c:marker val="1"/>
        <c:smooth val="0"/>
        <c:axId val="1714996752"/>
        <c:axId val="1752937680"/>
      </c:lineChart>
      <c:catAx>
        <c:axId val="2064750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4746640"/>
        <c:crosses val="autoZero"/>
        <c:auto val="1"/>
        <c:lblAlgn val="ctr"/>
        <c:lblOffset val="100"/>
        <c:noMultiLvlLbl val="0"/>
      </c:catAx>
      <c:valAx>
        <c:axId val="206474664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4750992"/>
        <c:crosses val="autoZero"/>
        <c:crossBetween val="between"/>
      </c:valAx>
      <c:valAx>
        <c:axId val="175293768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4996752"/>
        <c:crosses val="max"/>
        <c:crossBetween val="between"/>
      </c:valAx>
      <c:catAx>
        <c:axId val="1714996752"/>
        <c:scaling>
          <c:orientation val="minMax"/>
        </c:scaling>
        <c:delete val="1"/>
        <c:axPos val="b"/>
        <c:numFmt formatCode="General" sourceLinked="1"/>
        <c:majorTickMark val="out"/>
        <c:minorTickMark val="none"/>
        <c:tickLblPos val="nextTo"/>
        <c:crossAx val="1752937680"/>
        <c:crosses val="autoZero"/>
        <c:auto val="1"/>
        <c:lblAlgn val="ctr"/>
        <c:lblOffset val="100"/>
        <c:noMultiLvlLbl val="0"/>
      </c:catAx>
      <c:spPr>
        <a:noFill/>
        <a:ln>
          <a:noFill/>
        </a:ln>
        <a:effectLst/>
      </c:spPr>
    </c:plotArea>
    <c:legend>
      <c:legendPos val="b"/>
      <c:layout>
        <c:manualLayout>
          <c:xMode val="edge"/>
          <c:yMode val="edge"/>
          <c:x val="6.6100004087763409E-4"/>
          <c:y val="0.7922625324008411"/>
          <c:w val="0.9949958238133384"/>
          <c:h val="0.207737311797688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a:outerShdw blurRad="50800" dist="38100" algn="l" rotWithShape="0">
        <a:prstClr val="black">
          <a:alpha val="40000"/>
        </a:prstClr>
      </a:outerShdw>
    </a:effectLst>
  </c:spPr>
  <c:txPr>
    <a:bodyPr/>
    <a:lstStyle/>
    <a:p>
      <a:pPr>
        <a:defRPr/>
      </a:pPr>
      <a:endParaRPr lang="en-US"/>
    </a:p>
  </c:txPr>
  <c:externalData r:id="rId3">
    <c:autoUpdate val="0"/>
  </c:externalData>
  <c:extLst xmlns:c16r2="http://schemas.microsoft.com/office/drawing/2015/06/chart">
    <c:ext xmlns:c14="http://schemas.microsoft.com/office/drawing/2007/8/2/chart" uri="{781A3756-C4B2-4CAC-9D66-4F8BD8637D16}">
      <c14:pivotOptions>
        <c14:dropZoneFilter val="1"/>
        <c14:dropZoneCategories val="1"/>
        <c14:dropZoneData val="1"/>
        <c14:dropZoneSeries val="1"/>
      </c14:pivotOptions>
    </c:ext>
  </c:extLst>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[blinkit_dataset.xlsx]Product Pivot!PivotTable26</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b="1"/>
              <a:t>Delivery Status </a:t>
            </a:r>
          </a:p>
        </c:rich>
      </c:tx>
      <c:layout>
        <c:manualLayout>
          <c:xMode val="edge"/>
          <c:yMode val="edge"/>
          <c:x val="0.12346022449356475"/>
          <c:y val="4.3229823812938536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
        <c:spPr>
          <a:solidFill>
            <a:schemeClr val="accent1"/>
          </a:solidFill>
          <a:ln w="28575" cap="rnd">
            <a:solidFill>
              <a:schemeClr val="accent2"/>
            </a:solidFill>
            <a:round/>
          </a:ln>
          <a:effectLst/>
        </c:spPr>
        <c:marker>
          <c:symbol val="none"/>
        </c:marker>
        <c:dLbl>
          <c:idx val="0"/>
          <c:layout>
            <c:manualLayout>
              <c:x val="-4.4444444444444446E-2"/>
              <c:y val="-1.851851851851849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
        <c:spPr>
          <a:solidFill>
            <a:schemeClr val="accent1"/>
          </a:solidFill>
          <a:ln w="28575" cap="rnd">
            <a:solidFill>
              <a:schemeClr val="accent2"/>
            </a:solidFill>
            <a:round/>
          </a:ln>
          <a:effectLst/>
        </c:spPr>
        <c:marker>
          <c:symbol val="none"/>
        </c:marker>
        <c:dLbl>
          <c:idx val="0"/>
          <c:layout>
            <c:manualLayout>
              <c:x val="-0.05"/>
              <c:y val="1.851851851851851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
        <c:spPr>
          <a:solidFill>
            <a:schemeClr val="accent1"/>
          </a:solidFill>
          <a:ln w="28575" cap="rnd">
            <a:solidFill>
              <a:schemeClr val="accent2"/>
            </a:solidFill>
            <a:round/>
          </a:ln>
          <a:effectLst/>
        </c:spPr>
        <c:marker>
          <c:symbol val="none"/>
        </c:marker>
        <c:dLbl>
          <c:idx val="0"/>
          <c:layout>
            <c:manualLayout>
              <c:x val="2.4999999999999949E-2"/>
              <c:y val="-2.314814814814823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
        <c:spPr>
          <a:solidFill>
            <a:schemeClr val="accent1"/>
          </a:solidFill>
          <a:ln>
            <a:noFill/>
          </a:ln>
          <a:effectLst/>
        </c:spPr>
        <c:dLbl>
          <c:idx val="0"/>
          <c:layout>
            <c:manualLayout>
              <c:x val="2.7777777777778798E-3"/>
              <c:y val="2.314814814814816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
        <c:spPr>
          <a:solidFill>
            <a:schemeClr val="accent1"/>
          </a:solidFill>
          <a:ln>
            <a:noFill/>
          </a:ln>
          <a:effectLst/>
        </c:spPr>
        <c:dLbl>
          <c:idx val="0"/>
          <c:layout>
            <c:manualLayout>
              <c:x val="0"/>
              <c:y val="9.2592592592592171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8"/>
        <c:spPr>
          <a:solidFill>
            <a:schemeClr val="accent1"/>
          </a:solidFill>
          <a:ln>
            <a:noFill/>
          </a:ln>
          <a:effectLst/>
        </c:spPr>
        <c:dLbl>
          <c:idx val="0"/>
          <c:layout>
            <c:manualLayout>
              <c:x val="0"/>
              <c:y val="9.2592592592592171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9"/>
        <c:spPr>
          <a:solidFill>
            <a:schemeClr val="accent1"/>
          </a:solidFill>
          <a:ln>
            <a:noFill/>
          </a:ln>
          <a:effectLst/>
        </c:spPr>
        <c:dLbl>
          <c:idx val="0"/>
          <c:layout>
            <c:manualLayout>
              <c:x val="2.7777777777778798E-3"/>
              <c:y val="2.314814814814816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1"/>
        <c:spPr>
          <a:solidFill>
            <a:schemeClr val="accent1"/>
          </a:solidFill>
          <a:ln w="28575" cap="rnd">
            <a:solidFill>
              <a:schemeClr val="accent2"/>
            </a:solidFill>
            <a:round/>
          </a:ln>
          <a:effectLst/>
        </c:spPr>
        <c:marker>
          <c:symbol val="none"/>
        </c:marker>
        <c:dLbl>
          <c:idx val="0"/>
          <c:layout>
            <c:manualLayout>
              <c:x val="2.4999999999999949E-2"/>
              <c:y val="-2.314814814814823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2"/>
        <c:spPr>
          <a:solidFill>
            <a:schemeClr val="accent1"/>
          </a:solidFill>
          <a:ln w="28575" cap="rnd">
            <a:solidFill>
              <a:schemeClr val="accent2"/>
            </a:solidFill>
            <a:round/>
          </a:ln>
          <a:effectLst/>
        </c:spPr>
        <c:marker>
          <c:symbol val="none"/>
        </c:marker>
        <c:dLbl>
          <c:idx val="0"/>
          <c:layout>
            <c:manualLayout>
              <c:x val="-4.4444444444444446E-2"/>
              <c:y val="-1.851851851851849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3"/>
        <c:spPr>
          <a:solidFill>
            <a:schemeClr val="accent1"/>
          </a:solidFill>
          <a:ln w="28575" cap="rnd">
            <a:solidFill>
              <a:schemeClr val="accent2"/>
            </a:solidFill>
            <a:round/>
          </a:ln>
          <a:effectLst/>
        </c:spPr>
        <c:marker>
          <c:symbol val="none"/>
        </c:marker>
        <c:dLbl>
          <c:idx val="0"/>
          <c:layout>
            <c:manualLayout>
              <c:x val="-0.05"/>
              <c:y val="1.851851851851851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5"/>
        <c:spPr>
          <a:solidFill>
            <a:schemeClr val="accent1"/>
          </a:solidFill>
          <a:ln>
            <a:noFill/>
          </a:ln>
          <a:effectLst/>
        </c:spPr>
        <c:dLbl>
          <c:idx val="0"/>
          <c:layout>
            <c:manualLayout>
              <c:x val="0"/>
              <c:y val="9.2592592592592171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6"/>
        <c:spPr>
          <a:solidFill>
            <a:schemeClr val="accent1"/>
          </a:solidFill>
          <a:ln>
            <a:noFill/>
          </a:ln>
          <a:effectLst/>
        </c:spPr>
        <c:dLbl>
          <c:idx val="0"/>
          <c:layout>
            <c:manualLayout>
              <c:x val="2.7777777777778798E-3"/>
              <c:y val="2.314814814814816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layout>
            <c:manualLayout>
              <c:x val="2.4999999999999949E-2"/>
              <c:y val="-2.314814814814823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layout>
            <c:manualLayout>
              <c:x val="-4.4444444444444446E-2"/>
              <c:y val="-1.851851851851849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layout>
            <c:manualLayout>
              <c:x val="-0.05"/>
              <c:y val="1.851851851851851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dLbl>
          <c:idx val="0"/>
          <c:layout>
            <c:manualLayout>
              <c:x val="0"/>
              <c:y val="9.2592592592592171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3"/>
        <c:spPr>
          <a:solidFill>
            <a:schemeClr val="accent1"/>
          </a:solidFill>
          <a:ln>
            <a:noFill/>
          </a:ln>
          <a:effectLst/>
        </c:spPr>
        <c:dLbl>
          <c:idx val="0"/>
          <c:layout>
            <c:manualLayout>
              <c:x val="2.7777777777778798E-3"/>
              <c:y val="2.314814814814816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2"/>
            </a:solidFill>
            <a:round/>
          </a:ln>
          <a:effectLst/>
        </c:spPr>
        <c:marker>
          <c:symbol val="none"/>
        </c:marker>
        <c:dLbl>
          <c:idx val="0"/>
          <c:layout>
            <c:manualLayout>
              <c:x val="2.4999999999999949E-2"/>
              <c:y val="-2.314814814814823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6"/>
        <c:spPr>
          <a:solidFill>
            <a:schemeClr val="accent1"/>
          </a:solidFill>
          <a:ln w="28575" cap="rnd">
            <a:solidFill>
              <a:schemeClr val="accent2"/>
            </a:solidFill>
            <a:round/>
          </a:ln>
          <a:effectLst/>
        </c:spPr>
        <c:marker>
          <c:symbol val="none"/>
        </c:marker>
        <c:dLbl>
          <c:idx val="0"/>
          <c:layout>
            <c:manualLayout>
              <c:x val="-4.4444444444444446E-2"/>
              <c:y val="-1.851851851851849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7"/>
        <c:spPr>
          <a:solidFill>
            <a:schemeClr val="accent1"/>
          </a:solidFill>
          <a:ln w="28575" cap="rnd">
            <a:solidFill>
              <a:schemeClr val="accent2"/>
            </a:solidFill>
            <a:round/>
          </a:ln>
          <a:effectLst/>
        </c:spPr>
        <c:marker>
          <c:symbol val="none"/>
        </c:marker>
        <c:dLbl>
          <c:idx val="0"/>
          <c:layout>
            <c:manualLayout>
              <c:x val="-0.05"/>
              <c:y val="1.851851851851851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dLbl>
          <c:idx val="0"/>
          <c:layout>
            <c:manualLayout>
              <c:x val="0"/>
              <c:y val="9.2592592592592171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0"/>
        <c:spPr>
          <a:solidFill>
            <a:schemeClr val="accent1"/>
          </a:solidFill>
          <a:ln>
            <a:noFill/>
          </a:ln>
          <a:effectLst/>
        </c:spPr>
        <c:dLbl>
          <c:idx val="0"/>
          <c:layout>
            <c:manualLayout>
              <c:x val="2.7777777777778798E-3"/>
              <c:y val="2.314814814814816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1"/>
          </a:solidFill>
          <a:ln w="28575" cap="rnd">
            <a:solidFill>
              <a:schemeClr val="accent2"/>
            </a:solidFill>
            <a:round/>
          </a:ln>
          <a:effectLst/>
        </c:spPr>
        <c:marker>
          <c:symbol val="none"/>
        </c:marker>
        <c:dLbl>
          <c:idx val="0"/>
          <c:layout>
            <c:manualLayout>
              <c:x val="2.4999999999999949E-2"/>
              <c:y val="-2.314814814814823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3"/>
        <c:spPr>
          <a:solidFill>
            <a:schemeClr val="accent1"/>
          </a:solidFill>
          <a:ln w="28575" cap="rnd">
            <a:solidFill>
              <a:schemeClr val="accent2"/>
            </a:solidFill>
            <a:round/>
          </a:ln>
          <a:effectLst/>
        </c:spPr>
        <c:marker>
          <c:symbol val="none"/>
        </c:marker>
        <c:dLbl>
          <c:idx val="0"/>
          <c:layout>
            <c:manualLayout>
              <c:x val="-4.4444444444444446E-2"/>
              <c:y val="-1.851851851851849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4"/>
        <c:spPr>
          <a:solidFill>
            <a:schemeClr val="accent1"/>
          </a:solidFill>
          <a:ln w="28575" cap="rnd">
            <a:solidFill>
              <a:schemeClr val="accent2"/>
            </a:solidFill>
            <a:round/>
          </a:ln>
          <a:effectLst/>
        </c:spPr>
        <c:marker>
          <c:symbol val="none"/>
        </c:marker>
        <c:dLbl>
          <c:idx val="0"/>
          <c:layout>
            <c:manualLayout>
              <c:x val="-0.05"/>
              <c:y val="1.851851851851851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dLbl>
          <c:idx val="0"/>
          <c:layout>
            <c:manualLayout>
              <c:x val="0"/>
              <c:y val="9.2592592592592171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7"/>
        <c:spPr>
          <a:solidFill>
            <a:schemeClr val="accent1"/>
          </a:solidFill>
          <a:ln>
            <a:noFill/>
          </a:ln>
          <a:effectLst/>
        </c:spPr>
        <c:dLbl>
          <c:idx val="0"/>
          <c:layout>
            <c:manualLayout>
              <c:x val="2.7777777777778798E-3"/>
              <c:y val="2.314814814814816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1"/>
          </a:solidFill>
          <a:ln w="28575" cap="rnd">
            <a:solidFill>
              <a:schemeClr val="accent2"/>
            </a:solidFill>
            <a:round/>
          </a:ln>
          <a:effectLst/>
        </c:spPr>
        <c:marker>
          <c:symbol val="none"/>
        </c:marker>
        <c:dLbl>
          <c:idx val="0"/>
          <c:layout>
            <c:manualLayout>
              <c:x val="2.4999999999999949E-2"/>
              <c:y val="-2.314814814814823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0"/>
        <c:spPr>
          <a:solidFill>
            <a:schemeClr val="accent1"/>
          </a:solidFill>
          <a:ln w="28575" cap="rnd">
            <a:solidFill>
              <a:schemeClr val="accent2"/>
            </a:solidFill>
            <a:round/>
          </a:ln>
          <a:effectLst/>
        </c:spPr>
        <c:marker>
          <c:symbol val="none"/>
        </c:marker>
        <c:dLbl>
          <c:idx val="0"/>
          <c:layout>
            <c:manualLayout>
              <c:x val="-4.4444444444444446E-2"/>
              <c:y val="-1.851851851851849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1"/>
        <c:spPr>
          <a:solidFill>
            <a:schemeClr val="accent1"/>
          </a:solidFill>
          <a:ln w="28575" cap="rnd">
            <a:solidFill>
              <a:schemeClr val="accent2"/>
            </a:solidFill>
            <a:round/>
          </a:ln>
          <a:effectLst/>
        </c:spPr>
        <c:marker>
          <c:symbol val="none"/>
        </c:marker>
        <c:dLbl>
          <c:idx val="0"/>
          <c:layout>
            <c:manualLayout>
              <c:x val="-0.05"/>
              <c:y val="1.851851851851851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dLbl>
          <c:idx val="0"/>
          <c:layout>
            <c:manualLayout>
              <c:x val="0"/>
              <c:y val="9.2592592592592171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4"/>
        <c:spPr>
          <a:solidFill>
            <a:schemeClr val="accent1"/>
          </a:solidFill>
          <a:ln>
            <a:noFill/>
          </a:ln>
          <a:effectLst/>
        </c:spPr>
        <c:dLbl>
          <c:idx val="0"/>
          <c:layout>
            <c:manualLayout>
              <c:x val="2.7777777777778798E-3"/>
              <c:y val="2.314814814814816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6"/>
        <c:spPr>
          <a:solidFill>
            <a:schemeClr val="accent1"/>
          </a:solidFill>
          <a:ln w="28575" cap="rnd">
            <a:solidFill>
              <a:schemeClr val="accent2"/>
            </a:solidFill>
            <a:round/>
          </a:ln>
          <a:effectLst/>
        </c:spPr>
        <c:marker>
          <c:symbol val="none"/>
        </c:marker>
        <c:dLbl>
          <c:idx val="0"/>
          <c:layout>
            <c:manualLayout>
              <c:x val="2.4999999999999949E-2"/>
              <c:y val="-2.314814814814823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7"/>
        <c:spPr>
          <a:solidFill>
            <a:schemeClr val="accent1"/>
          </a:solidFill>
          <a:ln w="28575" cap="rnd">
            <a:solidFill>
              <a:schemeClr val="accent2"/>
            </a:solidFill>
            <a:round/>
          </a:ln>
          <a:effectLst/>
        </c:spPr>
        <c:marker>
          <c:symbol val="none"/>
        </c:marker>
        <c:dLbl>
          <c:idx val="0"/>
          <c:layout>
            <c:manualLayout>
              <c:x val="-4.4444444444444446E-2"/>
              <c:y val="-1.851851851851849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8"/>
        <c:spPr>
          <a:solidFill>
            <a:schemeClr val="accent1"/>
          </a:solidFill>
          <a:ln w="28575" cap="rnd">
            <a:solidFill>
              <a:schemeClr val="accent2"/>
            </a:solidFill>
            <a:round/>
          </a:ln>
          <a:effectLst/>
        </c:spPr>
        <c:marker>
          <c:symbol val="none"/>
        </c:marker>
        <c:dLbl>
          <c:idx val="0"/>
          <c:layout>
            <c:manualLayout>
              <c:x val="-0.05"/>
              <c:y val="1.851851851851851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s>
    <c:plotArea>
      <c:layout>
        <c:manualLayout>
          <c:layoutTarget val="inner"/>
          <c:xMode val="edge"/>
          <c:yMode val="edge"/>
          <c:x val="8.55531496062992E-2"/>
          <c:y val="0.17171296296296298"/>
          <c:w val="0.60867240895285302"/>
          <c:h val="0.61498432487605714"/>
        </c:manualLayout>
      </c:layout>
      <c:barChart>
        <c:barDir val="col"/>
        <c:grouping val="clustered"/>
        <c:varyColors val="0"/>
        <c:ser>
          <c:idx val="0"/>
          <c:order val="0"/>
          <c:tx>
            <c:strRef>
              <c:f>'Product Pivot'!$C$37</c:f>
              <c:strCache>
                <c:ptCount val="1"/>
                <c:pt idx="0">
                  <c:v>Average of distance_km</c:v>
                </c:pt>
              </c:strCache>
            </c:strRef>
          </c:tx>
          <c:spPr>
            <a:solidFill>
              <a:schemeClr val="accent1"/>
            </a:solidFill>
            <a:ln>
              <a:noFill/>
            </a:ln>
            <a:effectLst/>
          </c:spPr>
          <c:invertIfNegative val="0"/>
          <c:dPt>
            <c:idx val="0"/>
            <c:invertIfNegative val="0"/>
            <c:bubble3D val="0"/>
            <c:spPr>
              <a:solidFill>
                <a:schemeClr val="accent1"/>
              </a:solidFill>
              <a:ln>
                <a:noFill/>
              </a:ln>
              <a:effectLst/>
            </c:spPr>
            <c:extLst xmlns:c16r2="http://schemas.microsoft.com/office/drawing/2015/06/chart">
              <c:ext xmlns:c16="http://schemas.microsoft.com/office/drawing/2014/chart" uri="{C3380CC4-5D6E-409C-BE32-E72D297353CC}">
                <c16:uniqueId val="{00000000-56B7-4878-81D3-AED8EA02B1D2}"/>
              </c:ext>
            </c:extLst>
          </c:dPt>
          <c:dPt>
            <c:idx val="2"/>
            <c:invertIfNegative val="0"/>
            <c:bubble3D val="0"/>
            <c:spPr>
              <a:solidFill>
                <a:schemeClr val="accent1"/>
              </a:solidFill>
              <a:ln>
                <a:noFill/>
              </a:ln>
              <a:effectLst/>
            </c:spPr>
            <c:extLst xmlns:c16r2="http://schemas.microsoft.com/office/drawing/2015/06/chart">
              <c:ext xmlns:c16="http://schemas.microsoft.com/office/drawing/2014/chart" uri="{C3380CC4-5D6E-409C-BE32-E72D297353CC}">
                <c16:uniqueId val="{00000001-56B7-4878-81D3-AED8EA02B1D2}"/>
              </c:ext>
            </c:extLst>
          </c:dPt>
          <c:dLbls>
            <c:dLbl>
              <c:idx val="0"/>
              <c:layout>
                <c:manualLayout>
                  <c:x val="0"/>
                  <c:y val="9.2592592592592171E-3"/>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dLbl>
              <c:idx val="2"/>
              <c:layout>
                <c:manualLayout>
                  <c:x val="2.7777777777778798E-3"/>
                  <c:y val="2.3148148148148168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 Pivot'!$B$38:$B$40</c:f>
              <c:strCache>
                <c:ptCount val="3"/>
                <c:pt idx="0">
                  <c:v>On Time</c:v>
                </c:pt>
                <c:pt idx="1">
                  <c:v>Significantly Delayed</c:v>
                </c:pt>
                <c:pt idx="2">
                  <c:v>Slightly Delayed</c:v>
                </c:pt>
              </c:strCache>
            </c:strRef>
          </c:cat>
          <c:val>
            <c:numRef>
              <c:f>'Product Pivot'!$C$38:$C$40</c:f>
              <c:numCache>
                <c:formatCode>0.00</c:formatCode>
                <c:ptCount val="3"/>
                <c:pt idx="0">
                  <c:v>2.7164409221902011</c:v>
                </c:pt>
                <c:pt idx="1">
                  <c:v>2.6925152129817449</c:v>
                </c:pt>
                <c:pt idx="2">
                  <c:v>2.7355641272902598</c:v>
                </c:pt>
              </c:numCache>
            </c:numRef>
          </c:val>
          <c:extLst xmlns:c16r2="http://schemas.microsoft.com/office/drawing/2015/06/chart">
            <c:ext xmlns:c16="http://schemas.microsoft.com/office/drawing/2014/chart" uri="{C3380CC4-5D6E-409C-BE32-E72D297353CC}">
              <c16:uniqueId val="{00000002-56B7-4878-81D3-AED8EA02B1D2}"/>
            </c:ext>
          </c:extLst>
        </c:ser>
        <c:dLbls>
          <c:showLegendKey val="0"/>
          <c:showVal val="1"/>
          <c:showCatName val="0"/>
          <c:showSerName val="0"/>
          <c:showPercent val="0"/>
          <c:showBubbleSize val="0"/>
        </c:dLbls>
        <c:gapWidth val="219"/>
        <c:overlap val="-27"/>
        <c:axId val="1961215360"/>
        <c:axId val="1961213728"/>
      </c:barChart>
      <c:lineChart>
        <c:grouping val="standard"/>
        <c:varyColors val="0"/>
        <c:ser>
          <c:idx val="1"/>
          <c:order val="1"/>
          <c:tx>
            <c:strRef>
              <c:f>'Product Pivot'!$D$37</c:f>
              <c:strCache>
                <c:ptCount val="1"/>
                <c:pt idx="0">
                  <c:v>Average of delivery_time_minutes</c:v>
                </c:pt>
              </c:strCache>
            </c:strRef>
          </c:tx>
          <c:spPr>
            <a:ln w="28575" cap="rnd">
              <a:solidFill>
                <a:schemeClr val="accent2"/>
              </a:solidFill>
              <a:round/>
            </a:ln>
            <a:effectLst/>
          </c:spPr>
          <c:marker>
            <c:symbol val="none"/>
          </c:marker>
          <c:dPt>
            <c:idx val="0"/>
            <c:marker>
              <c:symbol val="none"/>
            </c:marker>
            <c:bubble3D val="0"/>
            <c:spPr>
              <a:ln w="28575" cap="rnd">
                <a:solidFill>
                  <a:schemeClr val="accent2"/>
                </a:solidFill>
                <a:round/>
              </a:ln>
              <a:effectLst/>
            </c:spPr>
            <c:extLst xmlns:c16r2="http://schemas.microsoft.com/office/drawing/2015/06/chart">
              <c:ext xmlns:c16="http://schemas.microsoft.com/office/drawing/2014/chart" uri="{C3380CC4-5D6E-409C-BE32-E72D297353CC}">
                <c16:uniqueId val="{00000003-56B7-4878-81D3-AED8EA02B1D2}"/>
              </c:ext>
            </c:extLst>
          </c:dPt>
          <c:dPt>
            <c:idx val="1"/>
            <c:marker>
              <c:symbol val="none"/>
            </c:marker>
            <c:bubble3D val="0"/>
            <c:spPr>
              <a:ln w="28575" cap="rnd">
                <a:solidFill>
                  <a:schemeClr val="accent2"/>
                </a:solidFill>
                <a:round/>
              </a:ln>
              <a:effectLst/>
            </c:spPr>
            <c:extLst xmlns:c16r2="http://schemas.microsoft.com/office/drawing/2015/06/chart">
              <c:ext xmlns:c16="http://schemas.microsoft.com/office/drawing/2014/chart" uri="{C3380CC4-5D6E-409C-BE32-E72D297353CC}">
                <c16:uniqueId val="{00000004-56B7-4878-81D3-AED8EA02B1D2}"/>
              </c:ext>
            </c:extLst>
          </c:dPt>
          <c:dPt>
            <c:idx val="2"/>
            <c:marker>
              <c:symbol val="none"/>
            </c:marker>
            <c:bubble3D val="0"/>
            <c:spPr>
              <a:ln w="28575" cap="rnd">
                <a:solidFill>
                  <a:schemeClr val="accent2"/>
                </a:solidFill>
                <a:round/>
              </a:ln>
              <a:effectLst/>
            </c:spPr>
            <c:extLst xmlns:c16r2="http://schemas.microsoft.com/office/drawing/2015/06/chart">
              <c:ext xmlns:c16="http://schemas.microsoft.com/office/drawing/2014/chart" uri="{C3380CC4-5D6E-409C-BE32-E72D297353CC}">
                <c16:uniqueId val="{00000005-56B7-4878-81D3-AED8EA02B1D2}"/>
              </c:ext>
            </c:extLst>
          </c:dPt>
          <c:dLbls>
            <c:dLbl>
              <c:idx val="0"/>
              <c:layout>
                <c:manualLayout>
                  <c:x val="2.4999999999999949E-2"/>
                  <c:y val="-2.3148148148148234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dLbl>
              <c:idx val="1"/>
              <c:layout>
                <c:manualLayout>
                  <c:x val="-4.4444444444444446E-2"/>
                  <c:y val="-1.8518518518518497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dLbl>
              <c:idx val="2"/>
              <c:layout>
                <c:manualLayout>
                  <c:x val="-0.05"/>
                  <c:y val="1.8518518518518517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 Pivot'!$B$38:$B$40</c:f>
              <c:strCache>
                <c:ptCount val="3"/>
                <c:pt idx="0">
                  <c:v>On Time</c:v>
                </c:pt>
                <c:pt idx="1">
                  <c:v>Significantly Delayed</c:v>
                </c:pt>
                <c:pt idx="2">
                  <c:v>Slightly Delayed</c:v>
                </c:pt>
              </c:strCache>
            </c:strRef>
          </c:cat>
          <c:val>
            <c:numRef>
              <c:f>'Product Pivot'!$D$38:$D$40</c:f>
              <c:numCache>
                <c:formatCode>0.00</c:formatCode>
                <c:ptCount val="3"/>
                <c:pt idx="0">
                  <c:v>1.3832853025936599E-2</c:v>
                </c:pt>
                <c:pt idx="1">
                  <c:v>22.843813387423936</c:v>
                </c:pt>
                <c:pt idx="2">
                  <c:v>10.515911282545805</c:v>
                </c:pt>
              </c:numCache>
            </c:numRef>
          </c:val>
          <c:smooth val="0"/>
          <c:extLst xmlns:c16r2="http://schemas.microsoft.com/office/drawing/2015/06/chart">
            <c:ext xmlns:c16="http://schemas.microsoft.com/office/drawing/2014/chart" uri="{C3380CC4-5D6E-409C-BE32-E72D297353CC}">
              <c16:uniqueId val="{00000006-56B7-4878-81D3-AED8EA02B1D2}"/>
            </c:ext>
          </c:extLst>
        </c:ser>
        <c:dLbls>
          <c:showLegendKey val="0"/>
          <c:showVal val="1"/>
          <c:showCatName val="0"/>
          <c:showSerName val="0"/>
          <c:showPercent val="0"/>
          <c:showBubbleSize val="0"/>
        </c:dLbls>
        <c:marker val="1"/>
        <c:smooth val="0"/>
        <c:axId val="1961220256"/>
        <c:axId val="1961212640"/>
      </c:lineChart>
      <c:catAx>
        <c:axId val="1961215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1213728"/>
        <c:crosses val="autoZero"/>
        <c:auto val="1"/>
        <c:lblAlgn val="ctr"/>
        <c:lblOffset val="100"/>
        <c:noMultiLvlLbl val="0"/>
      </c:catAx>
      <c:valAx>
        <c:axId val="1961213728"/>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1215360"/>
        <c:crosses val="autoZero"/>
        <c:crossBetween val="between"/>
      </c:valAx>
      <c:valAx>
        <c:axId val="1961212640"/>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1220256"/>
        <c:crosses val="max"/>
        <c:crossBetween val="between"/>
      </c:valAx>
      <c:catAx>
        <c:axId val="1961220256"/>
        <c:scaling>
          <c:orientation val="minMax"/>
        </c:scaling>
        <c:delete val="1"/>
        <c:axPos val="b"/>
        <c:numFmt formatCode="General" sourceLinked="1"/>
        <c:majorTickMark val="out"/>
        <c:minorTickMark val="none"/>
        <c:tickLblPos val="nextTo"/>
        <c:crossAx val="1961212640"/>
        <c:crosses val="autoZero"/>
        <c:auto val="1"/>
        <c:lblAlgn val="ctr"/>
        <c:lblOffset val="100"/>
        <c:noMultiLvlLbl val="0"/>
      </c:catAx>
      <c:spPr>
        <a:noFill/>
        <a:ln>
          <a:noFill/>
        </a:ln>
        <a:effectLst/>
      </c:spPr>
    </c:plotArea>
    <c:legend>
      <c:legendPos val="r"/>
      <c:layout>
        <c:manualLayout>
          <c:xMode val="edge"/>
          <c:yMode val="edge"/>
          <c:x val="0.80421744614382251"/>
          <c:y val="0.14258039317344151"/>
          <c:w val="0.18194557381883578"/>
          <c:h val="0.582764496954945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a:outerShdw blurRad="50800" dist="38100" algn="l" rotWithShape="0">
        <a:prstClr val="black">
          <a:alpha val="40000"/>
        </a:prstClr>
      </a:outerShdw>
    </a:effectLst>
  </c:spPr>
  <c:txPr>
    <a:bodyPr/>
    <a:lstStyle/>
    <a:p>
      <a:pPr>
        <a:defRPr/>
      </a:pPr>
      <a:endParaRPr lang="en-US"/>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0.01455</cdr:x>
      <cdr:y>0.02336</cdr:y>
    </cdr:from>
    <cdr:to>
      <cdr:x>0.55454</cdr:x>
      <cdr:y>0.13139</cdr:y>
    </cdr:to>
    <cdr:sp macro="" textlink="">
      <cdr:nvSpPr>
        <cdr:cNvPr id="2" name="Text Box 1">
          <a:extLst xmlns:a="http://schemas.openxmlformats.org/drawingml/2006/main">
            <a:ext uri="{FF2B5EF4-FFF2-40B4-BE49-F238E27FC236}">
              <a16:creationId xmlns="" xmlns:a16="http://schemas.microsoft.com/office/drawing/2014/main" id="{0A81F48B-1636-4AEF-8E2F-6B6305FD8F63}"/>
            </a:ext>
          </a:extLst>
        </cdr:cNvPr>
        <cdr:cNvSpPr txBox="1">
          <a:spLocks xmlns:a="http://schemas.openxmlformats.org/drawingml/2006/main" noChangeArrowheads="1"/>
        </cdr:cNvSpPr>
      </cdr:nvSpPr>
      <cdr:spPr bwMode="auto">
        <a:xfrm xmlns:a="http://schemas.openxmlformats.org/drawingml/2006/main">
          <a:off x="50799" y="50800"/>
          <a:ext cx="1885949" cy="23495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wrap="square" lIns="27432" tIns="27432" rIns="0" bIns="0" anchor="t" upright="1"/>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rtl="0">
            <a:defRPr sz="1000"/>
          </a:pPr>
          <a:r>
            <a:rPr lang="en-IN" sz="1200" b="1" i="0" u="none" strike="noStrike" baseline="0">
              <a:solidFill>
                <a:srgbClr val="000000"/>
              </a:solidFill>
              <a:latin typeface="Calibri"/>
              <a:ea typeface="Calibri"/>
              <a:cs typeface="Calibri"/>
            </a:rPr>
            <a:t>Category wise peformance</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768DB-A2F8-4F30-915A-2735B329C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2025-11-25T13:25:00Z</dcterms:created>
  <dcterms:modified xsi:type="dcterms:W3CDTF">2025-11-25T14:14:00Z</dcterms:modified>
</cp:coreProperties>
</file>