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066" w:rsidRPr="008E0066" w:rsidRDefault="008E0066" w:rsidP="008E0066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2611A1">
        <w:rPr>
          <w:b/>
          <w:bCs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70C0"/>
            </w14:solidFill>
            <w14:prstDash w14:val="solid"/>
            <w14:round/>
          </w14:textOutline>
        </w:rPr>
        <w:t xml:space="preserve">SHOPNEST </w:t>
      </w:r>
      <w:proofErr w:type="gramStart"/>
      <w:r w:rsidRPr="002611A1">
        <w:rPr>
          <w:b/>
          <w:bCs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70C0"/>
            </w14:solidFill>
            <w14:prstDash w14:val="solid"/>
            <w14:round/>
          </w14:textOutline>
        </w:rPr>
        <w:t>STORE :</w:t>
      </w:r>
      <w:proofErr w:type="gramEnd"/>
      <w:r w:rsidRPr="002611A1">
        <w:rPr>
          <w:b/>
          <w:bCs/>
          <w:color w:val="262626" w:themeColor="text1" w:themeTint="D9"/>
          <w:sz w:val="36"/>
          <w:szCs w:val="3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70C0"/>
            </w14:solidFill>
            <w14:prstDash w14:val="solid"/>
            <w14:round/>
          </w14:textOutline>
        </w:rPr>
        <w:t xml:space="preserve"> Report on Sales and Revenue Analysis</w:t>
      </w:r>
    </w:p>
    <w:p w:rsidR="008E0066" w:rsidRDefault="008E0066" w:rsidP="002148BE">
      <w:pPr>
        <w:spacing w:after="0"/>
        <w:rPr>
          <w:b/>
          <w:bCs/>
        </w:rPr>
      </w:pPr>
    </w:p>
    <w:p w:rsidR="002735E1" w:rsidRDefault="008E0066" w:rsidP="002148BE">
      <w:pPr>
        <w:spacing w:after="0"/>
        <w:rPr>
          <w:b/>
          <w:bCs/>
        </w:rPr>
      </w:pPr>
      <w:r w:rsidRPr="008E0066">
        <w:rPr>
          <w:b/>
          <w:bCs/>
          <w:noProof/>
        </w:rPr>
        <w:drawing>
          <wp:inline distT="0" distB="0" distL="0" distR="0" wp14:anchorId="1DC5E5B3" wp14:editId="3D64E76B">
            <wp:extent cx="5943600" cy="3357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FD" w:rsidRDefault="00B77DFD" w:rsidP="002148BE">
      <w:pPr>
        <w:spacing w:after="0"/>
        <w:rPr>
          <w:b/>
          <w:bCs/>
        </w:rPr>
      </w:pPr>
    </w:p>
    <w:p w:rsidR="00B77DFD" w:rsidRDefault="00B77DFD" w:rsidP="00B77DFD">
      <w:pPr>
        <w:spacing w:after="0"/>
        <w:jc w:val="center"/>
        <w:rPr>
          <w:b/>
          <w:bCs/>
        </w:rPr>
      </w:pPr>
      <w:r>
        <w:rPr>
          <w:b/>
          <w:bCs/>
        </w:rPr>
        <w:t>Drill through Cross Report Feature providing a detailed analysis of late and on time deliveries</w:t>
      </w:r>
    </w:p>
    <w:p w:rsidR="00B77DFD" w:rsidRDefault="00B77DFD" w:rsidP="00B77DFD">
      <w:pPr>
        <w:spacing w:after="0"/>
        <w:jc w:val="center"/>
        <w:rPr>
          <w:b/>
          <w:bCs/>
        </w:rPr>
      </w:pPr>
    </w:p>
    <w:p w:rsidR="00B77DFD" w:rsidRDefault="00B77DFD" w:rsidP="00B77DFD">
      <w:pPr>
        <w:spacing w:after="0"/>
        <w:jc w:val="center"/>
        <w:rPr>
          <w:b/>
          <w:bCs/>
        </w:rPr>
      </w:pPr>
      <w:r w:rsidRPr="00B77DFD">
        <w:rPr>
          <w:b/>
          <w:bCs/>
          <w:noProof/>
        </w:rPr>
        <w:drawing>
          <wp:inline distT="0" distB="0" distL="0" distR="0">
            <wp:extent cx="5943600" cy="3322774"/>
            <wp:effectExtent l="0" t="0" r="0" b="0"/>
            <wp:docPr id="14" name="Picture 14" descr="C:\Users\Anupam\Pictures\Screenshots\Screenshot 2025-09-09 234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pam\Pictures\Screenshots\Screenshot 2025-09-09 2340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66" w:rsidRDefault="008E0066">
      <w:pPr>
        <w:rPr>
          <w:b/>
          <w:bCs/>
        </w:rPr>
      </w:pPr>
      <w:r>
        <w:rPr>
          <w:b/>
          <w:bCs/>
        </w:rPr>
        <w:br w:type="page"/>
      </w:r>
    </w:p>
    <w:p w:rsidR="008E0066" w:rsidRDefault="008E0066" w:rsidP="002148BE">
      <w:pPr>
        <w:spacing w:after="0"/>
        <w:rPr>
          <w:b/>
          <w:bCs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5953"/>
        <w:gridCol w:w="3686"/>
      </w:tblGrid>
      <w:tr w:rsidR="00B6478C" w:rsidTr="00C34A74">
        <w:tc>
          <w:tcPr>
            <w:tcW w:w="426" w:type="dxa"/>
          </w:tcPr>
          <w:p w:rsidR="00B6478C" w:rsidRPr="00B6478C" w:rsidRDefault="00B6478C" w:rsidP="00B6478C">
            <w:pPr>
              <w:pStyle w:val="ListParagraph"/>
              <w:numPr>
                <w:ilvl w:val="0"/>
                <w:numId w:val="3"/>
              </w:numPr>
              <w:ind w:left="313"/>
              <w:rPr>
                <w:b/>
                <w:bCs/>
              </w:rPr>
            </w:pPr>
          </w:p>
        </w:tc>
        <w:tc>
          <w:tcPr>
            <w:tcW w:w="5953" w:type="dxa"/>
          </w:tcPr>
          <w:p w:rsidR="00B6478C" w:rsidRPr="00B6478C" w:rsidRDefault="00B6478C" w:rsidP="00B6478C">
            <w:pPr>
              <w:rPr>
                <w:b/>
                <w:bCs/>
              </w:rPr>
            </w:pPr>
            <w:r w:rsidRPr="00B6478C">
              <w:rPr>
                <w:b/>
                <w:bCs/>
              </w:rPr>
              <w:t xml:space="preserve">Question Statement: </w:t>
            </w:r>
          </w:p>
          <w:p w:rsidR="00B6478C" w:rsidRDefault="00B6478C" w:rsidP="00B6478C">
            <w:r w:rsidRPr="002148BE">
              <w:rPr>
                <w:u w:val="single"/>
              </w:rPr>
              <w:t>Top Categories by Total Price:</w:t>
            </w:r>
            <w:r>
              <w:rPr>
                <w:u w:val="single"/>
              </w:rPr>
              <w:t xml:space="preserve"> </w:t>
            </w:r>
            <w:r w:rsidRPr="002148BE">
              <w:t>Identify and visually represent the top 10 product categories by total sales.</w:t>
            </w:r>
          </w:p>
          <w:p w:rsidR="00B6478C" w:rsidRPr="00B6478C" w:rsidRDefault="00B6478C" w:rsidP="00B6478C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Explanation</w:t>
            </w:r>
            <w:r>
              <w:rPr>
                <w:b/>
                <w:bCs/>
              </w:rPr>
              <w:t xml:space="preserve">: </w:t>
            </w:r>
            <w:r w:rsidRPr="002735E1">
              <w:t>Top category Health and Beauty indicate high sales and strong customer demand. Watches, gifts, bed bath table categories</w:t>
            </w:r>
            <w:r>
              <w:t xml:space="preserve"> also</w:t>
            </w:r>
            <w:r w:rsidRPr="002735E1">
              <w:t xml:space="preserve"> show significant sale. Sports &amp; Leisure and Computers &amp; Accessories show consistent but slightly lower sales compared to the top three. Categories like Furniture &amp; Décor and Cool Stuff generate moderate sales. Housewares, Auto and Garden Tools indicate lesser customer focus.</w:t>
            </w:r>
            <w:r w:rsidRPr="00460E85">
              <w:rPr>
                <w:u w:val="single"/>
              </w:rPr>
              <w:t xml:space="preserve"> </w:t>
            </w:r>
          </w:p>
          <w:p w:rsidR="00B6478C" w:rsidRDefault="00B6478C" w:rsidP="00B6478C">
            <w:pPr>
              <w:spacing w:before="240"/>
            </w:pPr>
            <w:r w:rsidRPr="00460E85">
              <w:rPr>
                <w:u w:val="single"/>
              </w:rPr>
              <w:t>Top 3 categories contribute maximum sales, promoting business strategies. Bottom 3 categories indicate lesser sales as compared to other categories, so they need to be focused by marketing campaigns, seasonal discounts to increase sales.</w:t>
            </w:r>
            <w:r>
              <w:rPr>
                <w:u w:val="single"/>
              </w:rPr>
              <w:t xml:space="preserve"> </w:t>
            </w:r>
          </w:p>
          <w:p w:rsidR="00B6478C" w:rsidRPr="002735E1" w:rsidRDefault="00B6478C" w:rsidP="002148BE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 xml:space="preserve">Visualization: </w:t>
            </w:r>
          </w:p>
          <w:p w:rsidR="00B6478C" w:rsidRDefault="00B6478C" w:rsidP="002148BE">
            <w:pPr>
              <w:rPr>
                <w:b/>
                <w:bCs/>
              </w:rPr>
            </w:pPr>
            <w:r>
              <w:rPr>
                <w:b/>
                <w:bCs/>
                <w:noProof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4C02F790" wp14:editId="28E039F0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26035</wp:posOffset>
                  </wp:positionV>
                  <wp:extent cx="2330450" cy="1917700"/>
                  <wp:effectExtent l="0" t="0" r="0" b="6350"/>
                  <wp:wrapTight wrapText="bothSides">
                    <wp:wrapPolygon edited="0">
                      <wp:start x="0" y="0"/>
                      <wp:lineTo x="0" y="21457"/>
                      <wp:lineTo x="21365" y="21457"/>
                      <wp:lineTo x="2136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5-09-09 00484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478C" w:rsidTr="00C34A74">
        <w:tc>
          <w:tcPr>
            <w:tcW w:w="426" w:type="dxa"/>
          </w:tcPr>
          <w:p w:rsidR="00B6478C" w:rsidRDefault="00B6478C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1E0E4B">
              <w:rPr>
                <w:b/>
                <w:bCs/>
              </w:rPr>
              <w:t xml:space="preserve"> </w:t>
            </w:r>
          </w:p>
        </w:tc>
        <w:tc>
          <w:tcPr>
            <w:tcW w:w="5953" w:type="dxa"/>
          </w:tcPr>
          <w:p w:rsidR="00B6478C" w:rsidRPr="00460E85" w:rsidRDefault="00B6478C" w:rsidP="00B6478C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B6478C" w:rsidRDefault="00B6478C" w:rsidP="00B6478C">
            <w:r>
              <w:rPr>
                <w:u w:val="single"/>
              </w:rPr>
              <w:t>Delayed Orders Analysis</w:t>
            </w:r>
            <w:r w:rsidRPr="002148BE">
              <w:rPr>
                <w:u w:val="single"/>
              </w:rPr>
              <w:t>:</w:t>
            </w:r>
            <w:r>
              <w:rPr>
                <w:u w:val="single"/>
              </w:rPr>
              <w:t xml:space="preserve"> </w:t>
            </w:r>
            <w:r>
              <w:t>Determine the number of Delayed Orders in each Category</w:t>
            </w:r>
          </w:p>
          <w:p w:rsidR="00B6478C" w:rsidRPr="001650E5" w:rsidRDefault="00B6478C" w:rsidP="001650E5">
            <w:pPr>
              <w:pStyle w:val="NormalWeb"/>
              <w:rPr>
                <w:rFonts w:asciiTheme="minorHAnsi" w:eastAsiaTheme="minorHAnsi" w:hAnsiTheme="minorHAnsi" w:cs="Mangal"/>
                <w:sz w:val="22"/>
                <w:szCs w:val="20"/>
              </w:rPr>
            </w:pPr>
            <w:r w:rsidRPr="001650E5">
              <w:rPr>
                <w:rFonts w:asciiTheme="minorHAnsi" w:eastAsiaTheme="minorHAnsi" w:hAnsiTheme="minorHAnsi" w:cs="Mangal"/>
                <w:sz w:val="22"/>
                <w:szCs w:val="20"/>
              </w:rPr>
              <w:t>Explanation:</w:t>
            </w:r>
            <w:r w:rsidR="007B7EF1" w:rsidRPr="001650E5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Bed, Bath, Table (770 delays) and Health &amp; Beauty (717 delays) are the top two c</w:t>
            </w:r>
            <w:r w:rsidR="001650E5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ategories with the most delays. </w:t>
            </w:r>
            <w:r w:rsidR="007B7EF1" w:rsidRPr="001650E5">
              <w:rPr>
                <w:rFonts w:asciiTheme="minorHAnsi" w:eastAsiaTheme="minorHAnsi" w:hAnsiTheme="minorHAnsi" w:cs="Mangal"/>
                <w:sz w:val="22"/>
                <w:szCs w:val="20"/>
              </w:rPr>
              <w:t>Together, they account for about 20% of all delays (1,487 out of 7,265).</w:t>
            </w:r>
            <w:r w:rsidR="001650E5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7B7EF1" w:rsidRPr="001650E5">
              <w:rPr>
                <w:rFonts w:asciiTheme="minorHAnsi" w:eastAsiaTheme="minorHAnsi" w:hAnsiTheme="minorHAnsi" w:cs="Mangal"/>
                <w:sz w:val="22"/>
                <w:szCs w:val="20"/>
              </w:rPr>
              <w:t>Office Furniture (133 delays), Stationery (167 delays), and Electronics (207 delays) have comparatively fewer issues.</w:t>
            </w:r>
          </w:p>
          <w:p w:rsidR="00D90CC9" w:rsidRPr="00D90CC9" w:rsidRDefault="00D90CC9" w:rsidP="002148BE"/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Visualization:</w:t>
            </w:r>
          </w:p>
          <w:p w:rsidR="00B6478C" w:rsidRDefault="007B7EF1" w:rsidP="002148BE">
            <w:pPr>
              <w:rPr>
                <w:b/>
                <w:bCs/>
              </w:rPr>
            </w:pPr>
            <w:r w:rsidRPr="007B7EF1">
              <w:rPr>
                <w:b/>
                <w:bCs/>
                <w:noProof/>
              </w:rPr>
              <w:drawing>
                <wp:inline distT="0" distB="0" distL="0" distR="0" wp14:anchorId="6C1D24DE" wp14:editId="0C015BE4">
                  <wp:extent cx="2203450" cy="2863850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78C" w:rsidTr="00C34A74">
        <w:tc>
          <w:tcPr>
            <w:tcW w:w="426" w:type="dxa"/>
          </w:tcPr>
          <w:p w:rsidR="00B6478C" w:rsidRPr="001E0E4B" w:rsidRDefault="001E0E4B" w:rsidP="001E0E4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</w:p>
        </w:tc>
        <w:tc>
          <w:tcPr>
            <w:tcW w:w="5953" w:type="dxa"/>
          </w:tcPr>
          <w:p w:rsidR="00C34A74" w:rsidRPr="00460E85" w:rsidRDefault="00C34A74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C34A74" w:rsidRPr="00C34A74" w:rsidRDefault="00C34A74" w:rsidP="00C34A74">
            <w:pPr>
              <w:rPr>
                <w:u w:val="single"/>
              </w:rPr>
            </w:pPr>
            <w:r w:rsidRPr="00C34A74">
              <w:rPr>
                <w:u w:val="single"/>
              </w:rPr>
              <w:t>Monthly Comparison of Delayed and On-Tim</w:t>
            </w:r>
            <w:r>
              <w:rPr>
                <w:u w:val="single"/>
              </w:rPr>
              <w:t>e Orders:</w:t>
            </w:r>
          </w:p>
          <w:p w:rsidR="00C34A74" w:rsidRDefault="00C34A74" w:rsidP="00C34A74">
            <w:r>
              <w:t>Create a dynamic visual that compares the number of delayed orders to the number of orders received earlier for each month. Utilize the drill</w:t>
            </w:r>
            <w:r w:rsidR="001E0E4B">
              <w:t xml:space="preserve"> </w:t>
            </w:r>
            <w:r>
              <w:t xml:space="preserve">through cross-report feature to provide a detailed analysis of late and on-time deliveries. </w:t>
            </w:r>
          </w:p>
          <w:p w:rsidR="00C34A74" w:rsidRPr="00C34A74" w:rsidRDefault="00C34A74" w:rsidP="00061778">
            <w:pPr>
              <w:pStyle w:val="NormalWeb"/>
            </w:pPr>
            <w:r w:rsidRPr="00061778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t>Explanation:</w:t>
            </w:r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There is a steady increase in total orders from late 2016 to early 2018, peaking around November 2017 to March 2018. Delayed orders (light blue) remain relatively low compared to on-time orders throughout the period.</w:t>
            </w:r>
            <w:r w:rsidR="0006177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t>The majority of orders are delivered on time with delay% of 6.41</w:t>
            </w:r>
            <w:proofErr w:type="gramStart"/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t>% .</w:t>
            </w:r>
            <w:proofErr w:type="gramEnd"/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The average days an order is delayed is 12 days</w:t>
            </w:r>
            <w:r w:rsidR="0006177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. </w:t>
            </w:r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Highest order </w:t>
            </w:r>
            <w:r w:rsidR="00061778" w:rsidRPr="00061778">
              <w:rPr>
                <w:rFonts w:asciiTheme="minorHAnsi" w:eastAsiaTheme="minorHAnsi" w:hAnsiTheme="minorHAnsi" w:cs="Mangal"/>
                <w:sz w:val="22"/>
                <w:szCs w:val="20"/>
              </w:rPr>
              <w:lastRenderedPageBreak/>
              <w:t xml:space="preserve">activity is seen during holiday and year-end months (Nov–Feb), indicating </w:t>
            </w:r>
            <w:r w:rsidR="00061778">
              <w:rPr>
                <w:rFonts w:asciiTheme="minorHAnsi" w:eastAsiaTheme="minorHAnsi" w:hAnsiTheme="minorHAnsi" w:cs="Mangal"/>
                <w:sz w:val="22"/>
                <w:szCs w:val="20"/>
              </w:rPr>
              <w:t>possible seasonal demand spikes and provided discounts.</w:t>
            </w:r>
          </w:p>
          <w:p w:rsidR="00C34A74" w:rsidRPr="00D90CC9" w:rsidRDefault="00C34A74" w:rsidP="00C34A74"/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lastRenderedPageBreak/>
              <w:t>Visualization:</w:t>
            </w:r>
          </w:p>
          <w:p w:rsidR="00B6478C" w:rsidRDefault="00C34A74" w:rsidP="002148BE">
            <w:pPr>
              <w:rPr>
                <w:b/>
                <w:bCs/>
              </w:rPr>
            </w:pPr>
            <w:r w:rsidRPr="00C34A74">
              <w:rPr>
                <w:b/>
                <w:bCs/>
                <w:noProof/>
              </w:rPr>
              <w:drawing>
                <wp:inline distT="0" distB="0" distL="0" distR="0" wp14:anchorId="527C750A" wp14:editId="3A128258">
                  <wp:extent cx="2203450" cy="1115695"/>
                  <wp:effectExtent l="0" t="0" r="635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0E4B" w:rsidRDefault="001E0E4B" w:rsidP="002148BE">
            <w:pPr>
              <w:rPr>
                <w:b/>
                <w:bCs/>
              </w:rPr>
            </w:pPr>
          </w:p>
          <w:p w:rsidR="001E0E4B" w:rsidRPr="001E0E4B" w:rsidRDefault="001E0E4B" w:rsidP="002148BE">
            <w:r w:rsidRPr="001E0E4B">
              <w:rPr>
                <w:u w:val="single"/>
              </w:rPr>
              <w:t>Drill through cross-report feature</w:t>
            </w:r>
            <w:r>
              <w:rPr>
                <w:u w:val="single"/>
              </w:rPr>
              <w:t xml:space="preserve"> </w:t>
            </w:r>
            <w:r>
              <w:t>Detailed analysis of late and on-time deliveries.</w:t>
            </w:r>
          </w:p>
          <w:p w:rsidR="001E0E4B" w:rsidRDefault="00E413D1" w:rsidP="002148BE">
            <w:pPr>
              <w:rPr>
                <w:b/>
                <w:bCs/>
              </w:rPr>
            </w:pPr>
            <w:r w:rsidRPr="00E413D1">
              <w:rPr>
                <w:b/>
                <w:bCs/>
                <w:noProof/>
              </w:rPr>
              <w:lastRenderedPageBreak/>
              <w:drawing>
                <wp:inline distT="0" distB="0" distL="0" distR="0" wp14:anchorId="36A1F69E" wp14:editId="4D3127B5">
                  <wp:extent cx="2203450" cy="1231265"/>
                  <wp:effectExtent l="0" t="0" r="635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78C" w:rsidTr="00C34A74">
        <w:tc>
          <w:tcPr>
            <w:tcW w:w="426" w:type="dxa"/>
          </w:tcPr>
          <w:p w:rsidR="00B6478C" w:rsidRDefault="001E0E4B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</w:t>
            </w:r>
          </w:p>
        </w:tc>
        <w:tc>
          <w:tcPr>
            <w:tcW w:w="5953" w:type="dxa"/>
          </w:tcPr>
          <w:p w:rsidR="00C34A74" w:rsidRPr="00460E85" w:rsidRDefault="00C34A74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1E0E4B" w:rsidRDefault="001E0E4B" w:rsidP="001E0E4B">
            <w:r w:rsidRPr="001E0E4B">
              <w:rPr>
                <w:u w:val="single"/>
              </w:rPr>
              <w:t xml:space="preserve">Payment Method Analysis: </w:t>
            </w:r>
            <w:r w:rsidRPr="001E0E4B">
              <w:t>Analyze the most frequently used payment methods by customers using a visually appealing representation, such as a pie chart or other suitable</w:t>
            </w:r>
            <w:r>
              <w:t xml:space="preserve"> </w:t>
            </w:r>
            <w:r w:rsidRPr="001E0E4B">
              <w:t>visuals.</w:t>
            </w:r>
          </w:p>
          <w:p w:rsidR="00355940" w:rsidRDefault="00C34A74" w:rsidP="00355940">
            <w:pPr>
              <w:pStyle w:val="NormalWeb"/>
              <w:rPr>
                <w:rFonts w:asciiTheme="minorHAnsi" w:eastAsiaTheme="minorHAnsi" w:hAnsiTheme="minorHAnsi" w:cs="Mangal"/>
                <w:sz w:val="22"/>
                <w:szCs w:val="20"/>
              </w:rPr>
            </w:pPr>
            <w:r w:rsidRPr="00355940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t>Explanation</w:t>
            </w:r>
            <w:r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:</w:t>
            </w:r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Credit card accounts for 74% of total payments, indicating it is the preferred choice among </w:t>
            </w:r>
            <w:proofErr w:type="spellStart"/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customers.Boleto</w:t>
            </w:r>
            <w:proofErr w:type="spellEnd"/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represents 19%, showing moderate usage as an alternative payment </w:t>
            </w:r>
            <w:proofErr w:type="spellStart"/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method.Debit</w:t>
            </w:r>
            <w:proofErr w:type="spellEnd"/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card </w:t>
            </w:r>
            <w:r w:rsid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and </w:t>
            </w:r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usage</w:t>
            </w:r>
            <w:r w:rsid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of other modes</w:t>
            </w:r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is negligible at 1%,</w:t>
            </w:r>
            <w:r w:rsid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suggesting low adoption for the</w:t>
            </w:r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s</w:t>
            </w:r>
            <w:r w:rsidR="00355940">
              <w:rPr>
                <w:rFonts w:asciiTheme="minorHAnsi" w:eastAsiaTheme="minorHAnsi" w:hAnsiTheme="minorHAnsi" w:cs="Mangal"/>
                <w:sz w:val="22"/>
                <w:szCs w:val="20"/>
              </w:rPr>
              <w:t>e</w:t>
            </w:r>
            <w:r w:rsidR="00355940"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payment mode.</w:t>
            </w:r>
          </w:p>
          <w:p w:rsidR="00355940" w:rsidRPr="00355940" w:rsidRDefault="00355940" w:rsidP="00355940">
            <w:pPr>
              <w:pStyle w:val="NormalWeb"/>
              <w:spacing w:before="0" w:beforeAutospacing="0"/>
              <w:rPr>
                <w:rFonts w:asciiTheme="minorHAnsi" w:eastAsiaTheme="minorHAnsi" w:hAnsiTheme="minorHAnsi" w:cs="Mangal"/>
                <w:sz w:val="22"/>
                <w:szCs w:val="20"/>
              </w:rPr>
            </w:pPr>
            <w:r w:rsidRPr="00355940">
              <w:rPr>
                <w:rFonts w:asciiTheme="minorHAnsi" w:eastAsiaTheme="minorHAnsi" w:hAnsiTheme="minorHAnsi" w:cs="Mangal"/>
                <w:sz w:val="22"/>
                <w:szCs w:val="20"/>
                <w:u w:val="single"/>
              </w:rPr>
              <w:t>The market is heavily skewed towards credit card transactions, with very limited diversification in payment options</w:t>
            </w:r>
            <w:r w:rsidRPr="00355940">
              <w:rPr>
                <w:rFonts w:asciiTheme="minorHAnsi" w:eastAsiaTheme="minorHAnsi" w:hAnsiTheme="minorHAnsi" w:cs="Mangal"/>
                <w:sz w:val="22"/>
                <w:szCs w:val="20"/>
              </w:rPr>
              <w:t>.</w:t>
            </w:r>
          </w:p>
          <w:p w:rsidR="001E0E4B" w:rsidRPr="00355940" w:rsidRDefault="001E0E4B" w:rsidP="001E0E4B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Visualization:</w:t>
            </w:r>
          </w:p>
          <w:p w:rsidR="00B6478C" w:rsidRDefault="001E0E4B" w:rsidP="002148BE">
            <w:pPr>
              <w:rPr>
                <w:b/>
                <w:bCs/>
              </w:rPr>
            </w:pPr>
            <w:r w:rsidRPr="001E0E4B">
              <w:rPr>
                <w:b/>
                <w:bCs/>
                <w:noProof/>
              </w:rPr>
              <w:drawing>
                <wp:inline distT="0" distB="0" distL="0" distR="0" wp14:anchorId="38B2930F" wp14:editId="038B9E07">
                  <wp:extent cx="1993900" cy="1872082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255" cy="188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0E4B" w:rsidRDefault="001E0E4B" w:rsidP="002148BE">
            <w:pPr>
              <w:rPr>
                <w:b/>
                <w:bCs/>
              </w:rPr>
            </w:pPr>
          </w:p>
        </w:tc>
      </w:tr>
      <w:tr w:rsidR="00B6478C" w:rsidTr="00C34A74">
        <w:tc>
          <w:tcPr>
            <w:tcW w:w="426" w:type="dxa"/>
          </w:tcPr>
          <w:p w:rsidR="00B6478C" w:rsidRDefault="001E0E4B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5953" w:type="dxa"/>
          </w:tcPr>
          <w:p w:rsidR="00C34A74" w:rsidRPr="00460E85" w:rsidRDefault="00C34A74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1E0E4B" w:rsidRDefault="001E0E4B" w:rsidP="001E0E4B">
            <w:pPr>
              <w:rPr>
                <w:b/>
                <w:bCs/>
              </w:rPr>
            </w:pPr>
            <w:r w:rsidRPr="001E0E4B">
              <w:rPr>
                <w:u w:val="single"/>
              </w:rPr>
              <w:t>Product Rating Analysis:</w:t>
            </w:r>
            <w:r>
              <w:rPr>
                <w:u w:val="single"/>
              </w:rPr>
              <w:t xml:space="preserve"> </w:t>
            </w:r>
            <w:r w:rsidRPr="001E0E4B">
              <w:t>Determine the top 10 highest-rated product</w:t>
            </w:r>
            <w:r>
              <w:t xml:space="preserve"> and bottom 10 lowest</w:t>
            </w:r>
            <w:r w:rsidRPr="001E0E4B">
              <w:t xml:space="preserve"> </w:t>
            </w:r>
            <w:r>
              <w:t>-</w:t>
            </w:r>
            <w:r w:rsidRPr="001E0E4B">
              <w:t xml:space="preserve">rated products using a bar or column chart. </w:t>
            </w:r>
          </w:p>
          <w:p w:rsidR="00B02FF8" w:rsidRPr="00B02FF8" w:rsidRDefault="00C34A74" w:rsidP="00B02FF8">
            <w:pPr>
              <w:pStyle w:val="NormalWeb"/>
              <w:rPr>
                <w:rFonts w:asciiTheme="minorHAnsi" w:eastAsiaTheme="minorHAnsi" w:hAnsiTheme="minorHAnsi" w:cs="Mangal"/>
                <w:sz w:val="22"/>
                <w:szCs w:val="20"/>
              </w:rPr>
            </w:pPr>
            <w:r w:rsidRPr="00B02FF8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t>Explanation</w:t>
            </w:r>
            <w:r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>: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CDs, DVDs lead with a 4.7 rating, followed by fashion and books categories (4.5–4.4 range).</w:t>
            </w:r>
            <w:r w:rsid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>All top products have ratings above 4.3, indicating high customer satisfaction.</w:t>
            </w:r>
            <w:r w:rsid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>Books and fashion-related products appear multiple times among top-rated items.</w:t>
            </w:r>
            <w:r w:rsid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B02FF8" w:rsidRPr="00B02FF8">
              <w:rPr>
                <w:rFonts w:asciiTheme="minorHAnsi" w:eastAsiaTheme="minorHAnsi" w:hAnsiTheme="minorHAnsi" w:cs="Mangal"/>
                <w:i/>
                <w:iCs/>
                <w:sz w:val="22"/>
                <w:szCs w:val="20"/>
              </w:rPr>
              <w:t>Security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products are rated the lowest at </w:t>
            </w:r>
            <w:r w:rsidR="00B02FF8" w:rsidRPr="00B02FF8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t>2.5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, significantly below average. Categories like </w:t>
            </w:r>
            <w:r w:rsidR="00B02FF8" w:rsidRPr="00B02FF8">
              <w:rPr>
                <w:rFonts w:asciiTheme="minorHAnsi" w:eastAsiaTheme="minorHAnsi" w:hAnsiTheme="minorHAnsi" w:cs="Mangal"/>
                <w:i/>
                <w:iCs/>
                <w:sz w:val="22"/>
                <w:szCs w:val="20"/>
              </w:rPr>
              <w:t>office furniture, home care, diapers,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and </w:t>
            </w:r>
            <w:r w:rsidR="00B02FF8" w:rsidRPr="00B02FF8">
              <w:rPr>
                <w:rFonts w:asciiTheme="minorHAnsi" w:eastAsiaTheme="minorHAnsi" w:hAnsiTheme="minorHAnsi" w:cs="Mangal"/>
                <w:i/>
                <w:iCs/>
                <w:sz w:val="22"/>
                <w:szCs w:val="20"/>
              </w:rPr>
              <w:t>audio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have ratings between </w:t>
            </w:r>
            <w:r w:rsidR="00B02FF8" w:rsidRPr="00B02FF8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t>3.6–3.8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>, indicating room for improvement. Bottom 10 lowest rated products need to enhance product quality, improve durability &amp; design</w:t>
            </w:r>
            <w:r w:rsidR="00B02FF8">
              <w:rPr>
                <w:rFonts w:asciiTheme="minorHAnsi" w:eastAsiaTheme="minorHAnsi" w:hAnsiTheme="minorHAnsi" w:cs="Mangal"/>
                <w:sz w:val="22"/>
                <w:szCs w:val="20"/>
              </w:rPr>
              <w:t>.</w:t>
            </w:r>
          </w:p>
          <w:p w:rsidR="00B6478C" w:rsidRDefault="00B6478C" w:rsidP="001E0E4B">
            <w:pPr>
              <w:rPr>
                <w:b/>
                <w:bCs/>
              </w:rPr>
            </w:pPr>
          </w:p>
          <w:p w:rsidR="001E0E4B" w:rsidRPr="00D90CC9" w:rsidRDefault="001E0E4B" w:rsidP="001E0E4B"/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Visualization:</w:t>
            </w:r>
          </w:p>
          <w:p w:rsidR="00B6478C" w:rsidRDefault="001E0E4B" w:rsidP="002148BE">
            <w:pPr>
              <w:rPr>
                <w:b/>
                <w:bCs/>
              </w:rPr>
            </w:pPr>
            <w:r w:rsidRPr="001E0E4B">
              <w:rPr>
                <w:b/>
                <w:bCs/>
                <w:noProof/>
              </w:rPr>
              <w:drawing>
                <wp:inline distT="0" distB="0" distL="0" distR="0" wp14:anchorId="2FBA17ED" wp14:editId="5D3D69EE">
                  <wp:extent cx="2203450" cy="1442720"/>
                  <wp:effectExtent l="0" t="0" r="635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0E4B" w:rsidRDefault="001516C6" w:rsidP="002148BE">
            <w:pPr>
              <w:rPr>
                <w:b/>
                <w:bCs/>
              </w:rPr>
            </w:pPr>
            <w:r w:rsidRPr="001516C6">
              <w:rPr>
                <w:b/>
                <w:bCs/>
                <w:noProof/>
              </w:rPr>
              <w:drawing>
                <wp:inline distT="0" distB="0" distL="0" distR="0" wp14:anchorId="414044E7" wp14:editId="2E0A4BB3">
                  <wp:extent cx="2203450" cy="1440180"/>
                  <wp:effectExtent l="0" t="0" r="635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78C" w:rsidTr="00C34A74">
        <w:tc>
          <w:tcPr>
            <w:tcW w:w="426" w:type="dxa"/>
          </w:tcPr>
          <w:p w:rsidR="00B6478C" w:rsidRDefault="001E0E4B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5953" w:type="dxa"/>
          </w:tcPr>
          <w:p w:rsidR="00C34A74" w:rsidRPr="00460E85" w:rsidRDefault="00C34A74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1516C6" w:rsidRPr="001516C6" w:rsidRDefault="001516C6" w:rsidP="001516C6">
            <w:pPr>
              <w:rPr>
                <w:u w:val="single"/>
              </w:rPr>
            </w:pPr>
            <w:r w:rsidRPr="001516C6">
              <w:rPr>
                <w:u w:val="single"/>
              </w:rPr>
              <w:t xml:space="preserve">State-wise Sales Analysis: </w:t>
            </w:r>
            <w:r w:rsidRPr="001516C6">
              <w:t>Identify and visually represent states with high and low sales, providing a clear understanding of regional sales performance.</w:t>
            </w:r>
            <w:r w:rsidRPr="001516C6">
              <w:rPr>
                <w:u w:val="single"/>
              </w:rPr>
              <w:t xml:space="preserve"> </w:t>
            </w:r>
          </w:p>
          <w:p w:rsidR="007E51C7" w:rsidRPr="007E51C7" w:rsidRDefault="00C34A74" w:rsidP="007E51C7">
            <w:pPr>
              <w:pStyle w:val="NormalWeb"/>
              <w:rPr>
                <w:rFonts w:asciiTheme="minorHAnsi" w:eastAsiaTheme="minorHAnsi" w:hAnsiTheme="minorHAnsi" w:cs="Mangal"/>
                <w:sz w:val="22"/>
                <w:szCs w:val="20"/>
                <w:u w:val="single"/>
              </w:rPr>
            </w:pPr>
            <w:r w:rsidRPr="00B02FF8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</w:rPr>
              <w:lastRenderedPageBreak/>
              <w:t>Explanation:</w:t>
            </w:r>
            <w:r w:rsidR="00B02FF8" w:rsidRPr="00B02FF8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Several regions in North America and South America exhibit low sales. Concentration of underperformance is notable in central and northern US states and a few South American regions.</w:t>
            </w:r>
            <w:r w:rsidR="007E51C7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7E51C7">
              <w:t xml:space="preserve"> </w:t>
            </w:r>
            <w:r w:rsidR="007E51C7" w:rsidRPr="007E51C7">
              <w:rPr>
                <w:rFonts w:asciiTheme="minorHAnsi" w:eastAsiaTheme="minorHAnsi" w:hAnsiTheme="minorHAnsi" w:cs="Mangal"/>
                <w:sz w:val="22"/>
                <w:szCs w:val="20"/>
              </w:rPr>
              <w:t>High sales are concentrated in limited regions, primarily in eastern South America and a few locations in North America.</w:t>
            </w:r>
            <w:r w:rsidR="007E51C7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7E51C7" w:rsidRPr="007E51C7">
              <w:rPr>
                <w:rFonts w:asciiTheme="minorHAnsi" w:eastAsiaTheme="minorHAnsi" w:hAnsiTheme="minorHAnsi" w:cs="Mangal"/>
                <w:sz w:val="22"/>
                <w:szCs w:val="20"/>
              </w:rPr>
              <w:t>The geographical distribution shows uneven market penetration, with only a few states achieving strong sales.</w:t>
            </w:r>
            <w:r w:rsidR="007E51C7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7E51C7" w:rsidRPr="007E51C7">
              <w:rPr>
                <w:rFonts w:asciiTheme="minorHAnsi" w:eastAsiaTheme="minorHAnsi" w:hAnsiTheme="minorHAnsi" w:cs="Mangal"/>
                <w:sz w:val="22"/>
                <w:szCs w:val="20"/>
              </w:rPr>
              <w:t>Sales performance is highly region-specific: A few states dominate high sales while multiple states remain underperforming.</w:t>
            </w:r>
            <w:r w:rsidR="007E51C7">
              <w:rPr>
                <w:rFonts w:asciiTheme="minorHAnsi" w:eastAsiaTheme="minorHAnsi" w:hAnsiTheme="minorHAnsi" w:cs="Mangal"/>
                <w:sz w:val="22"/>
                <w:szCs w:val="20"/>
              </w:rPr>
              <w:t xml:space="preserve"> </w:t>
            </w:r>
            <w:r w:rsidR="007E51C7" w:rsidRPr="007E51C7">
              <w:rPr>
                <w:rFonts w:asciiTheme="minorHAnsi" w:eastAsiaTheme="minorHAnsi" w:hAnsiTheme="minorHAnsi" w:cs="Mangal"/>
                <w:sz w:val="22"/>
                <w:szCs w:val="20"/>
                <w:u w:val="single"/>
              </w:rPr>
              <w:t>Indicates potential market expansion opportunities in low-performing regions.</w:t>
            </w:r>
          </w:p>
          <w:p w:rsidR="007E51C7" w:rsidRDefault="007E51C7" w:rsidP="007E51C7">
            <w:pPr>
              <w:pStyle w:val="NormalWeb"/>
            </w:pPr>
          </w:p>
          <w:p w:rsidR="00B02FF8" w:rsidRPr="00B02FF8" w:rsidRDefault="00B02FF8" w:rsidP="00B02FF8">
            <w:pPr>
              <w:pStyle w:val="NormalWeb"/>
              <w:rPr>
                <w:rFonts w:asciiTheme="minorHAnsi" w:eastAsiaTheme="minorHAnsi" w:hAnsiTheme="minorHAnsi" w:cs="Mangal"/>
                <w:sz w:val="22"/>
                <w:szCs w:val="20"/>
              </w:rPr>
            </w:pPr>
          </w:p>
          <w:p w:rsidR="00B6478C" w:rsidRDefault="00B6478C" w:rsidP="001516C6">
            <w:pPr>
              <w:rPr>
                <w:b/>
                <w:bCs/>
              </w:rPr>
            </w:pPr>
          </w:p>
          <w:p w:rsidR="001516C6" w:rsidRPr="00D90CC9" w:rsidRDefault="001516C6" w:rsidP="001516C6"/>
        </w:tc>
        <w:tc>
          <w:tcPr>
            <w:tcW w:w="3686" w:type="dxa"/>
          </w:tcPr>
          <w:p w:rsidR="00B6478C" w:rsidRDefault="00B6478C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lastRenderedPageBreak/>
              <w:t>Visualization:</w:t>
            </w:r>
          </w:p>
          <w:p w:rsidR="00B6478C" w:rsidRDefault="001516C6" w:rsidP="002148BE">
            <w:pPr>
              <w:rPr>
                <w:b/>
                <w:bCs/>
              </w:rPr>
            </w:pPr>
            <w:r w:rsidRPr="001516C6">
              <w:rPr>
                <w:b/>
                <w:bCs/>
                <w:noProof/>
              </w:rPr>
              <w:lastRenderedPageBreak/>
              <w:drawing>
                <wp:inline distT="0" distB="0" distL="0" distR="0" wp14:anchorId="4328346D" wp14:editId="78701E13">
                  <wp:extent cx="2133600" cy="2492684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046" cy="251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6C6" w:rsidRDefault="007E51C7" w:rsidP="002148BE">
            <w:pPr>
              <w:rPr>
                <w:b/>
                <w:bCs/>
              </w:rPr>
            </w:pPr>
            <w:r w:rsidRPr="001516C6">
              <w:rPr>
                <w:b/>
                <w:bCs/>
                <w:noProof/>
              </w:rPr>
              <w:drawing>
                <wp:inline distT="0" distB="0" distL="0" distR="0" wp14:anchorId="79727C31" wp14:editId="38135BFD">
                  <wp:extent cx="2203450" cy="2697480"/>
                  <wp:effectExtent l="0" t="0" r="635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E5" w:rsidTr="00C34A74">
        <w:tc>
          <w:tcPr>
            <w:tcW w:w="426" w:type="dxa"/>
            <w:vMerge w:val="restart"/>
          </w:tcPr>
          <w:p w:rsidR="001650E5" w:rsidRDefault="001650E5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7.</w:t>
            </w:r>
          </w:p>
          <w:p w:rsidR="001650E5" w:rsidRDefault="001650E5" w:rsidP="002148BE">
            <w:pPr>
              <w:rPr>
                <w:b/>
                <w:bCs/>
              </w:rPr>
            </w:pPr>
          </w:p>
          <w:p w:rsidR="001650E5" w:rsidRDefault="001650E5" w:rsidP="002148BE">
            <w:pPr>
              <w:rPr>
                <w:b/>
                <w:bCs/>
              </w:rPr>
            </w:pPr>
          </w:p>
          <w:p w:rsidR="001650E5" w:rsidRDefault="001650E5" w:rsidP="002148BE">
            <w:pPr>
              <w:rPr>
                <w:b/>
                <w:bCs/>
              </w:rPr>
            </w:pPr>
          </w:p>
          <w:p w:rsidR="001650E5" w:rsidRDefault="001650E5" w:rsidP="002148B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 </w:t>
            </w:r>
          </w:p>
        </w:tc>
        <w:tc>
          <w:tcPr>
            <w:tcW w:w="5953" w:type="dxa"/>
            <w:vMerge w:val="restart"/>
          </w:tcPr>
          <w:p w:rsidR="001650E5" w:rsidRPr="00460E85" w:rsidRDefault="001650E5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1650E5" w:rsidRPr="001516C6" w:rsidRDefault="001650E5" w:rsidP="001516C6">
            <w:pPr>
              <w:rPr>
                <w:u w:val="single"/>
              </w:rPr>
            </w:pPr>
            <w:r w:rsidRPr="001516C6">
              <w:rPr>
                <w:u w:val="single"/>
              </w:rPr>
              <w:t>Seasonal Sales Patterns:</w:t>
            </w:r>
            <w:r>
              <w:rPr>
                <w:u w:val="single"/>
              </w:rPr>
              <w:t xml:space="preserve"> </w:t>
            </w:r>
            <w:r w:rsidRPr="001516C6">
              <w:t>Investigate and visualize any seasonal patterns</w:t>
            </w:r>
            <w:r>
              <w:t xml:space="preserve"> </w:t>
            </w:r>
            <w:r w:rsidRPr="001516C6">
              <w:t>(Quarterly) or trends in sales over the course of the year.</w:t>
            </w:r>
            <w:r>
              <w:rPr>
                <w:b/>
                <w:bCs/>
              </w:rPr>
              <w:t xml:space="preserve"> </w:t>
            </w:r>
          </w:p>
          <w:p w:rsidR="001650E5" w:rsidRPr="00460E85" w:rsidRDefault="001650E5" w:rsidP="00C34A74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460E85">
              <w:rPr>
                <w:b/>
                <w:bCs/>
              </w:rPr>
              <w:t xml:space="preserve">Question Statement: </w:t>
            </w:r>
          </w:p>
          <w:p w:rsidR="001650E5" w:rsidRDefault="001650E5" w:rsidP="00D90CC9">
            <w:r w:rsidRPr="00D90CC9">
              <w:rPr>
                <w:u w:val="single"/>
              </w:rPr>
              <w:t>Revenue Analysis:</w:t>
            </w:r>
            <w:r>
              <w:rPr>
                <w:u w:val="single"/>
              </w:rPr>
              <w:t xml:space="preserve"> </w:t>
            </w:r>
            <w:r w:rsidRPr="00D90CC9">
              <w:t xml:space="preserve">Determine the total revenue generated by </w:t>
            </w:r>
            <w:proofErr w:type="spellStart"/>
            <w:r w:rsidRPr="00D90CC9">
              <w:t>ShopNest</w:t>
            </w:r>
            <w:proofErr w:type="spellEnd"/>
            <w:r w:rsidRPr="00D90CC9">
              <w:t xml:space="preserve"> Store and analyze how it changes over </w:t>
            </w:r>
            <w:proofErr w:type="gramStart"/>
            <w:r w:rsidRPr="00D90CC9">
              <w:t>time(</w:t>
            </w:r>
            <w:proofErr w:type="gramEnd"/>
            <w:r w:rsidRPr="00D90CC9">
              <w:t>Yearly). Represent this information through</w:t>
            </w:r>
            <w:r>
              <w:rPr>
                <w:u w:val="single"/>
              </w:rPr>
              <w:t xml:space="preserve"> </w:t>
            </w:r>
            <w:r w:rsidRPr="00D90CC9">
              <w:t>suitable visuals to highlight trends and patterns.</w:t>
            </w:r>
          </w:p>
          <w:p w:rsidR="001650E5" w:rsidRDefault="001650E5" w:rsidP="00D90CC9">
            <w:pPr>
              <w:rPr>
                <w:b/>
                <w:bCs/>
              </w:rPr>
            </w:pPr>
          </w:p>
          <w:p w:rsidR="001650E5" w:rsidRDefault="001650E5" w:rsidP="00D90CC9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Explanation</w:t>
            </w:r>
            <w:r>
              <w:rPr>
                <w:b/>
                <w:bCs/>
              </w:rPr>
              <w:t xml:space="preserve">: </w:t>
            </w:r>
          </w:p>
          <w:p w:rsidR="001650E5" w:rsidRPr="001650E5" w:rsidRDefault="001650E5" w:rsidP="001650E5">
            <w:pPr>
              <w:rPr>
                <w:u w:val="single"/>
              </w:rPr>
            </w:pPr>
            <w:r w:rsidRPr="001650E5">
              <w:rPr>
                <w:u w:val="single"/>
              </w:rPr>
              <w:t>Overall Trend</w:t>
            </w:r>
          </w:p>
          <w:p w:rsidR="001650E5" w:rsidRPr="001650E5" w:rsidRDefault="001650E5" w:rsidP="001650E5">
            <w:pPr>
              <w:ind w:left="317"/>
            </w:pPr>
            <w:r w:rsidRPr="001650E5">
              <w:t>Steady growth in sales and revenue from late 2016 through mid-2017.</w:t>
            </w:r>
            <w:r w:rsidR="000A54C9">
              <w:t xml:space="preserve"> </w:t>
            </w:r>
            <w:r w:rsidRPr="001650E5">
              <w:t>By Q4 2017, both revenue and sales reached their peak.</w:t>
            </w:r>
            <w:r w:rsidR="000A54C9">
              <w:t xml:space="preserve"> </w:t>
            </w:r>
            <w:bookmarkStart w:id="0" w:name="_GoBack"/>
            <w:bookmarkEnd w:id="0"/>
            <w:r w:rsidRPr="001650E5">
              <w:t>In 2018, performance remained high but showed signs of leveling off, with some fluctuations.</w:t>
            </w:r>
          </w:p>
          <w:p w:rsidR="001650E5" w:rsidRDefault="001650E5" w:rsidP="001650E5">
            <w:pPr>
              <w:rPr>
                <w:u w:val="single"/>
              </w:rPr>
            </w:pPr>
          </w:p>
          <w:p w:rsidR="001650E5" w:rsidRPr="001650E5" w:rsidRDefault="001650E5" w:rsidP="001650E5">
            <w:pPr>
              <w:rPr>
                <w:u w:val="single"/>
              </w:rPr>
            </w:pPr>
            <w:r w:rsidRPr="001650E5">
              <w:rPr>
                <w:u w:val="single"/>
              </w:rPr>
              <w:lastRenderedPageBreak/>
              <w:t>Seasonal / Quarterly Patterns</w:t>
            </w:r>
          </w:p>
          <w:p w:rsidR="001650E5" w:rsidRPr="001650E5" w:rsidRDefault="001650E5" w:rsidP="001650E5">
            <w:pPr>
              <w:ind w:left="317"/>
              <w:rPr>
                <w:u w:val="single"/>
              </w:rPr>
            </w:pPr>
            <w:r w:rsidRPr="001650E5">
              <w:rPr>
                <w:u w:val="single"/>
              </w:rPr>
              <w:t>Q4 Peaks (Oct–Dec):</w:t>
            </w:r>
          </w:p>
          <w:p w:rsidR="001650E5" w:rsidRPr="001650E5" w:rsidRDefault="001650E5" w:rsidP="001650E5">
            <w:pPr>
              <w:ind w:left="317"/>
            </w:pPr>
            <w:r w:rsidRPr="001650E5">
              <w:t>Noticeable spike in both revenue and sales, especially in Oct–Nov 2017 and again in late 2018.</w:t>
            </w:r>
          </w:p>
          <w:p w:rsidR="001650E5" w:rsidRPr="001650E5" w:rsidRDefault="001650E5" w:rsidP="001650E5">
            <w:pPr>
              <w:ind w:left="317"/>
            </w:pPr>
            <w:r w:rsidRPr="001650E5">
              <w:t>Likely linked to holiday/seasonal demand (e.g., festivals, holiday shopping).</w:t>
            </w:r>
          </w:p>
          <w:p w:rsidR="001650E5" w:rsidRPr="001650E5" w:rsidRDefault="001650E5" w:rsidP="001650E5">
            <w:pPr>
              <w:ind w:left="317"/>
              <w:rPr>
                <w:u w:val="single"/>
              </w:rPr>
            </w:pPr>
            <w:r w:rsidRPr="001650E5">
              <w:rPr>
                <w:u w:val="single"/>
              </w:rPr>
              <w:t>Q1 Stability (Jan–Mar):</w:t>
            </w:r>
          </w:p>
          <w:p w:rsidR="001650E5" w:rsidRPr="001650E5" w:rsidRDefault="001650E5" w:rsidP="001650E5">
            <w:pPr>
              <w:ind w:left="317"/>
            </w:pPr>
            <w:r w:rsidRPr="001650E5">
              <w:t>Sales remain relatively high, but revenue shows dips after the Q4 peaks.</w:t>
            </w:r>
            <w:r>
              <w:t xml:space="preserve"> </w:t>
            </w:r>
            <w:r w:rsidRPr="001650E5">
              <w:t>Suggests promotions or discounts driving volume but lowering revenue per unit.</w:t>
            </w:r>
          </w:p>
          <w:p w:rsidR="001650E5" w:rsidRPr="001650E5" w:rsidRDefault="001650E5" w:rsidP="001650E5">
            <w:pPr>
              <w:ind w:left="317"/>
              <w:rPr>
                <w:u w:val="single"/>
              </w:rPr>
            </w:pPr>
            <w:r w:rsidRPr="001650E5">
              <w:rPr>
                <w:u w:val="single"/>
              </w:rPr>
              <w:t>Q2–Q3 Plateau (Apr–Sep):</w:t>
            </w:r>
          </w:p>
          <w:p w:rsidR="001650E5" w:rsidRPr="001650E5" w:rsidRDefault="001650E5" w:rsidP="001650E5">
            <w:pPr>
              <w:ind w:left="317"/>
            </w:pPr>
            <w:r w:rsidRPr="001650E5">
              <w:t>Sales are fairly steady (slight decline mid-2018).</w:t>
            </w:r>
            <w:r>
              <w:t xml:space="preserve"> </w:t>
            </w:r>
            <w:r w:rsidRPr="001650E5">
              <w:t>Revenue fluctuates but doesn’t grow as strongly, showing potential seasonality slowdown.</w:t>
            </w:r>
          </w:p>
          <w:p w:rsidR="001650E5" w:rsidRPr="001650E5" w:rsidRDefault="001650E5" w:rsidP="001650E5">
            <w:pPr>
              <w:rPr>
                <w:u w:val="single"/>
              </w:rPr>
            </w:pPr>
            <w:r w:rsidRPr="001650E5">
              <w:rPr>
                <w:u w:val="single"/>
              </w:rPr>
              <w:t>Key Findings</w:t>
            </w:r>
          </w:p>
          <w:p w:rsidR="001650E5" w:rsidRPr="001650E5" w:rsidRDefault="001650E5" w:rsidP="001650E5">
            <w:pPr>
              <w:ind w:left="317"/>
            </w:pPr>
            <w:r w:rsidRPr="001650E5">
              <w:t>Growth phase: 2016–2017 saw rapid expansion in both sales and revenue.</w:t>
            </w:r>
          </w:p>
          <w:p w:rsidR="001650E5" w:rsidRDefault="001650E5" w:rsidP="001650E5">
            <w:pPr>
              <w:ind w:left="317"/>
            </w:pPr>
            <w:r w:rsidRPr="001650E5">
              <w:t>Seasonal effect: Strong Q4 surges highlight the impact of festive/holiday periods.</w:t>
            </w:r>
          </w:p>
          <w:p w:rsidR="001650E5" w:rsidRDefault="001650E5" w:rsidP="001650E5">
            <w:pPr>
              <w:rPr>
                <w:b/>
                <w:bCs/>
              </w:rPr>
            </w:pPr>
          </w:p>
          <w:p w:rsidR="001650E5" w:rsidRPr="001650E5" w:rsidRDefault="001650E5" w:rsidP="001650E5">
            <w:r w:rsidRPr="001650E5">
              <w:rPr>
                <w:b/>
                <w:bCs/>
              </w:rPr>
              <w:t>Conclusion</w:t>
            </w:r>
            <w:r w:rsidRPr="001650E5">
              <w:t xml:space="preserve">: Sales and revenue follow a clear seasonal cycle, with </w:t>
            </w:r>
            <w:r w:rsidRPr="001650E5">
              <w:rPr>
                <w:b/>
                <w:bCs/>
              </w:rPr>
              <w:t>Q4 consistently outperforming other quarters</w:t>
            </w:r>
            <w:r w:rsidRPr="001650E5">
              <w:t>. Businesses could capitalize on this by aligning marketing, inventory, and promotions ahead of Q4 while finding ways to stabilize revenue in Q2–Q3.</w:t>
            </w:r>
          </w:p>
          <w:p w:rsidR="001650E5" w:rsidRDefault="001650E5" w:rsidP="00D90CC9">
            <w:pPr>
              <w:rPr>
                <w:b/>
                <w:bCs/>
              </w:rPr>
            </w:pPr>
          </w:p>
          <w:p w:rsidR="001650E5" w:rsidRPr="00D90CC9" w:rsidRDefault="001650E5" w:rsidP="00D90CC9"/>
        </w:tc>
        <w:tc>
          <w:tcPr>
            <w:tcW w:w="3686" w:type="dxa"/>
          </w:tcPr>
          <w:p w:rsidR="001650E5" w:rsidRDefault="001650E5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lastRenderedPageBreak/>
              <w:t>Visualization:</w:t>
            </w:r>
          </w:p>
          <w:p w:rsidR="001650E5" w:rsidRDefault="009672D6" w:rsidP="002148BE">
            <w:pPr>
              <w:rPr>
                <w:b/>
                <w:bCs/>
              </w:rPr>
            </w:pPr>
            <w:r w:rsidRPr="009672D6">
              <w:rPr>
                <w:b/>
                <w:bCs/>
                <w:noProof/>
              </w:rPr>
              <w:drawing>
                <wp:inline distT="0" distB="0" distL="0" distR="0" wp14:anchorId="5CE44848" wp14:editId="40FE982C">
                  <wp:extent cx="2203450" cy="1155065"/>
                  <wp:effectExtent l="0" t="0" r="635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E5" w:rsidTr="00C34A74">
        <w:tc>
          <w:tcPr>
            <w:tcW w:w="426" w:type="dxa"/>
            <w:vMerge/>
          </w:tcPr>
          <w:p w:rsidR="001650E5" w:rsidRDefault="001650E5" w:rsidP="002148BE">
            <w:pPr>
              <w:rPr>
                <w:b/>
                <w:bCs/>
              </w:rPr>
            </w:pPr>
          </w:p>
        </w:tc>
        <w:tc>
          <w:tcPr>
            <w:tcW w:w="5953" w:type="dxa"/>
            <w:vMerge/>
          </w:tcPr>
          <w:p w:rsidR="001650E5" w:rsidRPr="00D90CC9" w:rsidRDefault="001650E5" w:rsidP="00D90CC9"/>
        </w:tc>
        <w:tc>
          <w:tcPr>
            <w:tcW w:w="3686" w:type="dxa"/>
          </w:tcPr>
          <w:p w:rsidR="001650E5" w:rsidRDefault="001650E5" w:rsidP="002148BE">
            <w:pPr>
              <w:rPr>
                <w:b/>
                <w:bCs/>
              </w:rPr>
            </w:pPr>
            <w:r w:rsidRPr="002735E1">
              <w:rPr>
                <w:b/>
                <w:bCs/>
              </w:rPr>
              <w:t>Visualization:</w:t>
            </w:r>
          </w:p>
          <w:p w:rsidR="001650E5" w:rsidRDefault="009672D6" w:rsidP="002148BE">
            <w:pPr>
              <w:rPr>
                <w:b/>
                <w:bCs/>
              </w:rPr>
            </w:pPr>
            <w:r w:rsidRPr="009672D6">
              <w:rPr>
                <w:b/>
                <w:bCs/>
                <w:noProof/>
              </w:rPr>
              <w:drawing>
                <wp:inline distT="0" distB="0" distL="0" distR="0" wp14:anchorId="3D3983CC" wp14:editId="292ECA12">
                  <wp:extent cx="2203450" cy="1155065"/>
                  <wp:effectExtent l="0" t="0" r="635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35E1" w:rsidRDefault="002735E1" w:rsidP="002148BE">
      <w:pPr>
        <w:spacing w:after="0"/>
        <w:rPr>
          <w:b/>
          <w:bCs/>
        </w:rPr>
      </w:pPr>
    </w:p>
    <w:p w:rsidR="002735E1" w:rsidRDefault="002735E1" w:rsidP="002148BE">
      <w:pPr>
        <w:spacing w:after="0"/>
        <w:rPr>
          <w:b/>
          <w:bCs/>
        </w:rPr>
      </w:pPr>
    </w:p>
    <w:p w:rsidR="002735E1" w:rsidRDefault="002735E1" w:rsidP="002148BE">
      <w:pPr>
        <w:spacing w:after="0"/>
        <w:rPr>
          <w:b/>
          <w:bCs/>
        </w:rPr>
      </w:pPr>
    </w:p>
    <w:p w:rsidR="002735E1" w:rsidRDefault="002735E1" w:rsidP="002148BE">
      <w:pPr>
        <w:spacing w:after="0"/>
        <w:rPr>
          <w:b/>
          <w:bCs/>
        </w:rPr>
      </w:pPr>
    </w:p>
    <w:p w:rsidR="002735E1" w:rsidRDefault="002735E1" w:rsidP="002148BE">
      <w:pPr>
        <w:spacing w:after="0"/>
        <w:rPr>
          <w:b/>
          <w:bCs/>
        </w:rPr>
      </w:pPr>
    </w:p>
    <w:p w:rsidR="002735E1" w:rsidRDefault="002735E1" w:rsidP="002148BE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460E85" w:rsidRDefault="00460E85" w:rsidP="00460E85">
      <w:pPr>
        <w:spacing w:after="0"/>
        <w:rPr>
          <w:b/>
          <w:bCs/>
        </w:rPr>
      </w:pPr>
    </w:p>
    <w:p w:rsidR="002735E1" w:rsidRPr="002735E1" w:rsidRDefault="002735E1" w:rsidP="002148BE">
      <w:pPr>
        <w:spacing w:after="0"/>
        <w:rPr>
          <w:u w:val="single"/>
        </w:rPr>
      </w:pPr>
    </w:p>
    <w:sectPr w:rsidR="002735E1" w:rsidRPr="002735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E10FD"/>
    <w:multiLevelType w:val="multilevel"/>
    <w:tmpl w:val="ECC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A3995"/>
    <w:multiLevelType w:val="hybridMultilevel"/>
    <w:tmpl w:val="8062B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1A60EB"/>
    <w:multiLevelType w:val="hybridMultilevel"/>
    <w:tmpl w:val="182EE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095C7A"/>
    <w:multiLevelType w:val="multilevel"/>
    <w:tmpl w:val="F8C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66EDF"/>
    <w:multiLevelType w:val="multilevel"/>
    <w:tmpl w:val="760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CD1BFD"/>
    <w:multiLevelType w:val="hybridMultilevel"/>
    <w:tmpl w:val="54D01E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B4D7139"/>
    <w:multiLevelType w:val="multilevel"/>
    <w:tmpl w:val="E002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BE"/>
    <w:rsid w:val="00061778"/>
    <w:rsid w:val="000A54C9"/>
    <w:rsid w:val="001516C6"/>
    <w:rsid w:val="001650E5"/>
    <w:rsid w:val="001E0E4B"/>
    <w:rsid w:val="002148BE"/>
    <w:rsid w:val="002611A1"/>
    <w:rsid w:val="002735E1"/>
    <w:rsid w:val="00355940"/>
    <w:rsid w:val="00460E85"/>
    <w:rsid w:val="007B7EF1"/>
    <w:rsid w:val="007E51C7"/>
    <w:rsid w:val="008E0066"/>
    <w:rsid w:val="009672D6"/>
    <w:rsid w:val="00980A86"/>
    <w:rsid w:val="00B02FF8"/>
    <w:rsid w:val="00B6478C"/>
    <w:rsid w:val="00B77DFD"/>
    <w:rsid w:val="00C34A74"/>
    <w:rsid w:val="00D90CC9"/>
    <w:rsid w:val="00E413D1"/>
    <w:rsid w:val="00E73B54"/>
    <w:rsid w:val="00F2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39DC6-9E6C-4A3F-AF51-23A2ADD3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65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5E1"/>
    <w:rPr>
      <w:b/>
      <w:bCs/>
    </w:rPr>
  </w:style>
  <w:style w:type="paragraph" w:styleId="ListParagraph">
    <w:name w:val="List Paragraph"/>
    <w:basedOn w:val="Normal"/>
    <w:uiPriority w:val="34"/>
    <w:qFormat/>
    <w:rsid w:val="00460E85"/>
    <w:pPr>
      <w:ind w:left="720"/>
      <w:contextualSpacing/>
    </w:pPr>
  </w:style>
  <w:style w:type="table" w:styleId="TableGrid">
    <w:name w:val="Table Grid"/>
    <w:basedOn w:val="TableNormal"/>
    <w:uiPriority w:val="39"/>
    <w:rsid w:val="00B647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B02FF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650E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2025-09-08T19:19:00Z</dcterms:created>
  <dcterms:modified xsi:type="dcterms:W3CDTF">2025-09-10T12:49:00Z</dcterms:modified>
</cp:coreProperties>
</file>