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84911" w14:textId="07485993" w:rsidR="001D5EB0" w:rsidRDefault="001D5EB0" w:rsidP="001D5EB0">
      <w:r>
        <w:t>RETAIL SALES DASHBOARD</w:t>
      </w:r>
      <w:r>
        <w:t xml:space="preserve"> </w:t>
      </w:r>
    </w:p>
    <w:p w14:paraId="1047FF8C" w14:textId="77777777" w:rsidR="001D5EB0" w:rsidRDefault="001D5EB0" w:rsidP="001D5EB0"/>
    <w:p w14:paraId="352366B1" w14:textId="77777777" w:rsidR="001D5EB0" w:rsidRDefault="001D5EB0" w:rsidP="001D5EB0">
      <w:r>
        <w:t xml:space="preserve">Region </w:t>
      </w:r>
      <w:r>
        <w:rPr>
          <w:rFonts w:ascii="Arial" w:hAnsi="Arial" w:cs="Arial"/>
        </w:rPr>
        <w:t>▼</w:t>
      </w:r>
      <w:r>
        <w:t xml:space="preserve">          Category </w:t>
      </w:r>
      <w:r>
        <w:rPr>
          <w:rFonts w:ascii="Arial" w:hAnsi="Arial" w:cs="Arial"/>
        </w:rPr>
        <w:t>▼</w:t>
      </w:r>
      <w:r>
        <w:t xml:space="preserve">          Date </w:t>
      </w:r>
      <w:r>
        <w:rPr>
          <w:rFonts w:ascii="Arial" w:hAnsi="Arial" w:cs="Arial"/>
        </w:rPr>
        <w:t>▼</w:t>
      </w:r>
    </w:p>
    <w:p w14:paraId="2A275D0F" w14:textId="77777777" w:rsidR="001D5EB0" w:rsidRDefault="001D5EB0" w:rsidP="001D5EB0"/>
    <w:p w14:paraId="4329CA3D" w14:textId="77777777" w:rsidR="001D5EB0" w:rsidRDefault="001D5EB0" w:rsidP="001D5EB0">
      <w:r>
        <w:t>Total Revenue     Total Units         YoY Growth</w:t>
      </w:r>
    </w:p>
    <w:p w14:paraId="35404C12" w14:textId="77777777" w:rsidR="001D5EB0" w:rsidRDefault="001D5EB0" w:rsidP="001D5EB0"/>
    <w:p w14:paraId="7EB31412" w14:textId="77777777" w:rsidR="001D5EB0" w:rsidRDefault="001D5EB0" w:rsidP="001D5EB0">
      <w:r>
        <w:t>Revenue by Category        Revenue by Region</w:t>
      </w:r>
    </w:p>
    <w:p w14:paraId="3715E5F5" w14:textId="77777777" w:rsidR="001D5EB0" w:rsidRDefault="001D5EB0" w:rsidP="001D5EB0"/>
    <w:p w14:paraId="5E23C5BD" w14:textId="77777777" w:rsidR="001D5EB0" w:rsidRDefault="001D5EB0" w:rsidP="001D5EB0">
      <w:r>
        <w:t>Revenue by Subcategory     Monthly Revenue YoY</w:t>
      </w:r>
    </w:p>
    <w:p w14:paraId="1D65C66B" w14:textId="77777777" w:rsidR="001D5EB0" w:rsidRDefault="001D5EB0" w:rsidP="001D5EB0"/>
    <w:p w14:paraId="6479B9C8" w14:textId="77777777" w:rsidR="001D5EB0" w:rsidRDefault="001D5EB0" w:rsidP="001D5EB0">
      <w:r>
        <w:t>Seasonality                Revenue vs Google Trends</w:t>
      </w:r>
    </w:p>
    <w:p w14:paraId="2CD90F5D" w14:textId="77777777" w:rsidR="001D5EB0" w:rsidRDefault="001D5EB0" w:rsidP="001D5EB0"/>
    <w:p w14:paraId="1E2F373B" w14:textId="77777777" w:rsidR="001D5EB0" w:rsidRDefault="001D5EB0" w:rsidP="001D5EB0">
      <w:r>
        <w:t>Top 5 SKUs                 Bottom 5 SKUs</w:t>
      </w:r>
    </w:p>
    <w:p w14:paraId="1466A11C" w14:textId="77777777" w:rsidR="001D5EB0" w:rsidRDefault="001D5EB0" w:rsidP="001D5EB0"/>
    <w:p w14:paraId="403F7E5F" w14:textId="77777777" w:rsidR="001D5EB0" w:rsidRDefault="001D5EB0" w:rsidP="001D5EB0"/>
    <w:p w14:paraId="5EDFDC20" w14:textId="77777777" w:rsidR="001D5EB0" w:rsidRDefault="001D5EB0" w:rsidP="001D5EB0"/>
    <w:p w14:paraId="4D0C9AC1" w14:textId="3A451521" w:rsidR="001D5EB0" w:rsidRDefault="001D5EB0" w:rsidP="001D5EB0">
      <w:r>
        <w:t>Brief</w:t>
      </w:r>
      <w:r w:rsidRPr="004B5C71">
        <w:rPr>
          <w:b/>
          <w:bCs/>
        </w:rPr>
        <w:t xml:space="preserve"> README</w:t>
      </w:r>
      <w:r>
        <w:rPr>
          <w:b/>
          <w:bCs/>
        </w:rPr>
        <w:t xml:space="preserve"> after sales forecast.</w:t>
      </w:r>
    </w:p>
    <w:p w14:paraId="7799C3DD" w14:textId="77777777" w:rsidR="001D5EB0" w:rsidRPr="004B5C71" w:rsidRDefault="001D5EB0" w:rsidP="001D5EB0">
      <w:pPr>
        <w:rPr>
          <w:b/>
          <w:bCs/>
        </w:rPr>
      </w:pPr>
      <w:r w:rsidRPr="004B5C71">
        <w:rPr>
          <w:b/>
          <w:bCs/>
        </w:rPr>
        <w:t>Sales &amp; Marketing Brief — Retail Category Performance &amp; Demand Outlook</w:t>
      </w:r>
    </w:p>
    <w:p w14:paraId="60FBE8BF" w14:textId="77777777" w:rsidR="001D5EB0" w:rsidRPr="004B5C71" w:rsidRDefault="001D5EB0" w:rsidP="001D5EB0">
      <w:r w:rsidRPr="004B5C71">
        <w:rPr>
          <w:b/>
          <w:bCs/>
        </w:rPr>
        <w:t>Objective:</w:t>
      </w:r>
      <w:r w:rsidRPr="004B5C71">
        <w:t xml:space="preserve"> Identify the strongest commercial opportunities from historical sales, regional performance, seasonality, and the demand forecast to support inventory and marketing decisions.</w:t>
      </w:r>
    </w:p>
    <w:p w14:paraId="3B1CE425" w14:textId="77777777" w:rsidR="001D5EB0" w:rsidRPr="004B5C71" w:rsidRDefault="001D5EB0" w:rsidP="001D5EB0">
      <w:pPr>
        <w:rPr>
          <w:b/>
          <w:bCs/>
        </w:rPr>
      </w:pPr>
      <w:r w:rsidRPr="004B5C71">
        <w:rPr>
          <w:b/>
          <w:bCs/>
        </w:rPr>
        <w:t xml:space="preserve">1. Technology </w:t>
      </w:r>
      <w:proofErr w:type="gramStart"/>
      <w:r w:rsidRPr="004B5C71">
        <w:rPr>
          <w:b/>
          <w:bCs/>
        </w:rPr>
        <w:t>leads</w:t>
      </w:r>
      <w:proofErr w:type="gramEnd"/>
      <w:r w:rsidRPr="004B5C71">
        <w:rPr>
          <w:b/>
          <w:bCs/>
        </w:rPr>
        <w:t xml:space="preserve"> revenue, while Office Supplies is the fastest-growing category</w:t>
      </w:r>
    </w:p>
    <w:p w14:paraId="5E69237A" w14:textId="77777777" w:rsidR="001D5EB0" w:rsidRPr="004B5C71" w:rsidRDefault="001D5EB0" w:rsidP="001D5EB0">
      <w:r w:rsidRPr="004B5C71">
        <w:t xml:space="preserve">Technology generated approximately </w:t>
      </w:r>
      <w:r w:rsidRPr="004B5C71">
        <w:rPr>
          <w:b/>
          <w:bCs/>
        </w:rPr>
        <w:t>$271.7K in 2017 sales</w:t>
      </w:r>
      <w:r w:rsidRPr="004B5C71">
        <w:t xml:space="preserve">, representing about </w:t>
      </w:r>
      <w:r w:rsidRPr="004B5C71">
        <w:rPr>
          <w:b/>
          <w:bCs/>
        </w:rPr>
        <w:t>37% of total annual revenue</w:t>
      </w:r>
      <w:r w:rsidRPr="004B5C71">
        <w:t xml:space="preserve">, and grew roughly </w:t>
      </w:r>
      <w:r w:rsidRPr="004B5C71">
        <w:rPr>
          <w:b/>
          <w:bCs/>
        </w:rPr>
        <w:t>20% year over year</w:t>
      </w:r>
      <w:r w:rsidRPr="004B5C71">
        <w:t xml:space="preserve">. Office Supplies grew even faster at approximately </w:t>
      </w:r>
      <w:r w:rsidRPr="004B5C71">
        <w:rPr>
          <w:b/>
          <w:bCs/>
        </w:rPr>
        <w:t>34% YoY</w:t>
      </w:r>
      <w:r w:rsidRPr="004B5C71">
        <w:t xml:space="preserve">, reaching about </w:t>
      </w:r>
      <w:r w:rsidRPr="004B5C71">
        <w:rPr>
          <w:b/>
          <w:bCs/>
        </w:rPr>
        <w:t>$246.1K</w:t>
      </w:r>
      <w:r w:rsidRPr="004B5C71">
        <w:t>. Technology search interest also strengthened substantially during 2017, providing an additional external signal of consumer interest.</w:t>
      </w:r>
    </w:p>
    <w:p w14:paraId="0282D677" w14:textId="77777777" w:rsidR="001D5EB0" w:rsidRPr="004B5C71" w:rsidRDefault="001D5EB0" w:rsidP="001D5EB0">
      <w:r w:rsidRPr="004B5C71">
        <w:rPr>
          <w:b/>
          <w:bCs/>
        </w:rPr>
        <w:lastRenderedPageBreak/>
        <w:t>Recommended action:</w:t>
      </w:r>
      <w:r w:rsidRPr="004B5C71">
        <w:t xml:space="preserve"> Prioritize inventory availability and promotional spending for high-performing Technology products, while increasing targeted campaigns for fast-growing Office Supplies subcategories such as Binders, Appliances, and Paper.</w:t>
      </w:r>
    </w:p>
    <w:p w14:paraId="706A5038" w14:textId="77777777" w:rsidR="001D5EB0" w:rsidRPr="004B5C71" w:rsidRDefault="001D5EB0" w:rsidP="001D5EB0">
      <w:r w:rsidRPr="004B5C71">
        <w:rPr>
          <w:b/>
          <w:bCs/>
        </w:rPr>
        <w:t>Expected impact:</w:t>
      </w:r>
      <w:r w:rsidRPr="004B5C71">
        <w:t xml:space="preserve"> Better alignment of inventory and marketing with the two strongest categories should reduce missed-sales risk and improve conversion of existing demand. Technology should remain the primary revenue-protection category, while Office Supplies provides the strongest near-term growth opportunity.</w:t>
      </w:r>
    </w:p>
    <w:p w14:paraId="39946F01" w14:textId="34F8192B" w:rsidR="001D5EB0" w:rsidRPr="004B5C71" w:rsidRDefault="001D5EB0" w:rsidP="001D5EB0"/>
    <w:p w14:paraId="0E73511C" w14:textId="77777777" w:rsidR="001D5EB0" w:rsidRPr="004B5C71" w:rsidRDefault="001D5EB0" w:rsidP="001D5EB0">
      <w:pPr>
        <w:rPr>
          <w:b/>
          <w:bCs/>
        </w:rPr>
      </w:pPr>
      <w:r w:rsidRPr="004B5C71">
        <w:rPr>
          <w:b/>
          <w:bCs/>
        </w:rPr>
        <w:t>2. The West is the strongest regional market and continues to expand</w:t>
      </w:r>
    </w:p>
    <w:p w14:paraId="78FB472E" w14:textId="77777777" w:rsidR="001D5EB0" w:rsidRPr="004B5C71" w:rsidRDefault="001D5EB0" w:rsidP="001D5EB0">
      <w:r w:rsidRPr="004B5C71">
        <w:t xml:space="preserve">The </w:t>
      </w:r>
      <w:r w:rsidRPr="004B5C71">
        <w:rPr>
          <w:b/>
          <w:bCs/>
        </w:rPr>
        <w:t>West generated approximately $250.1K in 2017 revenue</w:t>
      </w:r>
      <w:r w:rsidRPr="004B5C71">
        <w:t xml:space="preserve">, about </w:t>
      </w:r>
      <w:r w:rsidRPr="004B5C71">
        <w:rPr>
          <w:b/>
          <w:bCs/>
        </w:rPr>
        <w:t>34% of company sales</w:t>
      </w:r>
      <w:r w:rsidRPr="004B5C71">
        <w:t xml:space="preserve">, and increased roughly </w:t>
      </w:r>
      <w:r w:rsidRPr="004B5C71">
        <w:rPr>
          <w:b/>
          <w:bCs/>
        </w:rPr>
        <w:t>33% versus 2016</w:t>
      </w:r>
      <w:r w:rsidRPr="004B5C71">
        <w:t>. The East remained the second-largest market, while Central sales were essentially flat year over year.</w:t>
      </w:r>
    </w:p>
    <w:p w14:paraId="5AE6AFC3" w14:textId="77777777" w:rsidR="001D5EB0" w:rsidRPr="004B5C71" w:rsidRDefault="001D5EB0" w:rsidP="001D5EB0">
      <w:r w:rsidRPr="004B5C71">
        <w:rPr>
          <w:b/>
          <w:bCs/>
        </w:rPr>
        <w:t>Recommended action:</w:t>
      </w:r>
      <w:r w:rsidRPr="004B5C71">
        <w:t xml:space="preserve"> Allocate more campaign budget and inventory depth to the West, maintain strong coverage in the East, and review Central-region product mix and promotional effectiveness before committing additional </w:t>
      </w:r>
      <w:proofErr w:type="gramStart"/>
      <w:r w:rsidRPr="004B5C71">
        <w:t>spend</w:t>
      </w:r>
      <w:proofErr w:type="gramEnd"/>
      <w:r w:rsidRPr="004B5C71">
        <w:t>.</w:t>
      </w:r>
    </w:p>
    <w:p w14:paraId="5EF1B603" w14:textId="77777777" w:rsidR="001D5EB0" w:rsidRPr="004B5C71" w:rsidRDefault="001D5EB0" w:rsidP="001D5EB0">
      <w:r w:rsidRPr="004B5C71">
        <w:rPr>
          <w:b/>
          <w:bCs/>
        </w:rPr>
        <w:t>Expected impact:</w:t>
      </w:r>
      <w:r w:rsidRPr="004B5C71">
        <w:t xml:space="preserve"> Concentrating resources in regions already demonstrating strong demand should improve marketing efficiency and product availability. At the same time, diagnosing Central's stagnant performance can prevent inefficient spending in a low-growth market.</w:t>
      </w:r>
    </w:p>
    <w:p w14:paraId="79E079B0" w14:textId="2CEA6748" w:rsidR="001D5EB0" w:rsidRPr="004B5C71" w:rsidRDefault="001D5EB0" w:rsidP="001D5EB0"/>
    <w:p w14:paraId="33A944A8" w14:textId="77777777" w:rsidR="001D5EB0" w:rsidRPr="004B5C71" w:rsidRDefault="001D5EB0" w:rsidP="001D5EB0">
      <w:pPr>
        <w:rPr>
          <w:b/>
          <w:bCs/>
        </w:rPr>
      </w:pPr>
      <w:r w:rsidRPr="004B5C71">
        <w:rPr>
          <w:b/>
          <w:bCs/>
        </w:rPr>
        <w:t>3. Demand is highly seasonal, so inventory should be positioned before the Q4 peak</w:t>
      </w:r>
    </w:p>
    <w:p w14:paraId="7FBBB446" w14:textId="77777777" w:rsidR="001D5EB0" w:rsidRPr="004B5C71" w:rsidRDefault="001D5EB0" w:rsidP="001D5EB0">
      <w:r w:rsidRPr="004B5C71">
        <w:t xml:space="preserve">Approximately </w:t>
      </w:r>
      <w:r w:rsidRPr="004B5C71">
        <w:rPr>
          <w:b/>
          <w:bCs/>
        </w:rPr>
        <w:t>$280.1K of 2017 sales occurred in Q4</w:t>
      </w:r>
      <w:r w:rsidRPr="004B5C71">
        <w:t xml:space="preserve">, representing about </w:t>
      </w:r>
      <w:r w:rsidRPr="004B5C71">
        <w:rPr>
          <w:b/>
          <w:bCs/>
        </w:rPr>
        <w:t>38% of the entire year's revenue</w:t>
      </w:r>
      <w:r w:rsidRPr="004B5C71">
        <w:t xml:space="preserve">. This confirms a substantial late-year seasonal peak. The Holt-Winters forecasting model achieved a </w:t>
      </w:r>
      <w:r w:rsidRPr="004B5C71">
        <w:rPr>
          <w:b/>
          <w:bCs/>
        </w:rPr>
        <w:t>20.64% MAPE</w:t>
      </w:r>
      <w:r w:rsidRPr="004B5C71">
        <w:t xml:space="preserve"> on the hold-out period, meaning monthly forecasts differed from actual sales by about 20.6% on average.</w:t>
      </w:r>
    </w:p>
    <w:p w14:paraId="5EFFDA10" w14:textId="77777777" w:rsidR="001D5EB0" w:rsidRPr="004B5C71" w:rsidRDefault="001D5EB0" w:rsidP="001D5EB0">
      <w:r w:rsidRPr="004B5C71">
        <w:rPr>
          <w:b/>
          <w:bCs/>
        </w:rPr>
        <w:t>Recommended action:</w:t>
      </w:r>
      <w:r w:rsidRPr="004B5C71">
        <w:t xml:space="preserve"> Pull inventory and marketing activity forward ahead of the Q4 demand surge rather than </w:t>
      </w:r>
      <w:proofErr w:type="gramStart"/>
      <w:r w:rsidRPr="004B5C71">
        <w:t>reacting</w:t>
      </w:r>
      <w:proofErr w:type="gramEnd"/>
      <w:r w:rsidRPr="004B5C71">
        <w:t xml:space="preserve"> after sales accelerate. Use the Holt-Winters forecast as the planning </w:t>
      </w:r>
      <w:proofErr w:type="gramStart"/>
      <w:r w:rsidRPr="004B5C71">
        <w:t>baseline, but</w:t>
      </w:r>
      <w:proofErr w:type="gramEnd"/>
      <w:r w:rsidRPr="004B5C71">
        <w:t xml:space="preserve"> maintain a reasonable inventory buffer because forecast uncertainty is approximately 20%.</w:t>
      </w:r>
    </w:p>
    <w:p w14:paraId="185D82BD" w14:textId="77777777" w:rsidR="001D5EB0" w:rsidRPr="004B5C71" w:rsidRDefault="001D5EB0" w:rsidP="001D5EB0">
      <w:r w:rsidRPr="004B5C71">
        <w:rPr>
          <w:b/>
          <w:bCs/>
        </w:rPr>
        <w:t>Expected impact:</w:t>
      </w:r>
      <w:r w:rsidRPr="004B5C71">
        <w:t xml:space="preserve"> Earlier inventory positioning should reduce stockout risk during the highest-value selling period, while explicitly incorporating forecast uncertainty should limit excessive overstock. Marketing campaigns can also be scheduled ahead of the seasonal peak rather than after demand has already materialized.</w:t>
      </w:r>
    </w:p>
    <w:p w14:paraId="566D47DA" w14:textId="77777777" w:rsidR="001D5EB0" w:rsidRPr="004B5C71" w:rsidRDefault="001D5EB0" w:rsidP="001D5EB0">
      <w:pPr>
        <w:rPr>
          <w:b/>
          <w:bCs/>
        </w:rPr>
      </w:pPr>
      <w:r w:rsidRPr="004B5C71">
        <w:rPr>
          <w:b/>
          <w:bCs/>
        </w:rPr>
        <w:lastRenderedPageBreak/>
        <w:t>Management takeaway</w:t>
      </w:r>
    </w:p>
    <w:p w14:paraId="396A6311" w14:textId="77777777" w:rsidR="001D5EB0" w:rsidRPr="004B5C71" w:rsidRDefault="001D5EB0" w:rsidP="001D5EB0">
      <w:r w:rsidRPr="004B5C71">
        <w:t>Protect Technology revenue, accelerate Office Supplies growth, prioritize the West, and prepare inventory early for the Q4 demand spike. The forecast provides a useful planning baseline, but its 20.64% MAPE means it should guide—not replace—commercial judgment.</w:t>
      </w:r>
    </w:p>
    <w:p w14:paraId="41675A18" w14:textId="77777777" w:rsidR="001D5EB0" w:rsidRDefault="001D5EB0" w:rsidP="001D5EB0"/>
    <w:p w14:paraId="58EC4748" w14:textId="77777777" w:rsidR="00032743" w:rsidRDefault="00032743"/>
    <w:sectPr w:rsidR="00032743" w:rsidSect="001D5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EB0"/>
    <w:rsid w:val="00032743"/>
    <w:rsid w:val="001D5EB0"/>
    <w:rsid w:val="00212FF0"/>
    <w:rsid w:val="00844289"/>
    <w:rsid w:val="008F6823"/>
    <w:rsid w:val="0090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E7EC5"/>
  <w15:chartTrackingRefBased/>
  <w15:docId w15:val="{6E3A084E-3C00-4733-BA3A-350071F2E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EB0"/>
  </w:style>
  <w:style w:type="paragraph" w:styleId="Heading1">
    <w:name w:val="heading 1"/>
    <w:basedOn w:val="Normal"/>
    <w:next w:val="Normal"/>
    <w:link w:val="Heading1Char"/>
    <w:uiPriority w:val="9"/>
    <w:qFormat/>
    <w:rsid w:val="001D5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Khadka</dc:creator>
  <cp:keywords/>
  <dc:description/>
  <cp:lastModifiedBy>Anjali Khadka</cp:lastModifiedBy>
  <cp:revision>1</cp:revision>
  <dcterms:created xsi:type="dcterms:W3CDTF">2026-08-12T04:09:00Z</dcterms:created>
  <dcterms:modified xsi:type="dcterms:W3CDTF">2026-08-12T04:48:00Z</dcterms:modified>
</cp:coreProperties>
</file>