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17365D"/>
          <w:sz w:val="60"/>
        </w:rPr>
        <w:t>UPGRADE &amp; PLAN CHANGE</w:t>
      </w:r>
    </w:p>
    <w:p>
      <w:r>
        <w:rPr>
          <w:rFonts w:ascii="Aptos Display" w:hAnsi="Aptos Display"/>
          <w:color w:val="2F75B5"/>
          <w:sz w:val="44"/>
        </w:rPr>
        <w:t>V1 → V3 Parity Assessment</w:t>
      </w:r>
    </w:p>
    <w:p>
      <w:pPr>
        <w:spacing w:before="400"/>
      </w:pPr>
      <w:r>
        <w:rPr>
          <w:b/>
          <w:color w:val="1F2937"/>
          <w:sz w:val="24"/>
        </w:rPr>
        <w:t>Technical Design &amp; Gap Analysis</w:t>
      </w:r>
    </w:p>
    <w:p>
      <w:pPr>
        <w:spacing w:before="160"/>
      </w:pPr>
      <w:r>
        <w:rPr>
          <w:color w:val="666666"/>
          <w:sz w:val="21"/>
        </w:rPr>
        <w:t>Scope: Upgrade and Plan Change functionality across V1, V2 and the target V3 platform.</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0"/>
            </w:pPr>
            <w:r/>
            <w:r>
              <w:rPr>
                <w:rFonts w:ascii="Aptos" w:hAnsi="Aptos"/>
                <w:b/>
                <w:color w:val="17365D"/>
                <w:sz w:val="18"/>
              </w:rPr>
              <w:t>Document purpose</w:t>
            </w:r>
          </w:p>
        </w:tc>
        <w:tc>
          <w:tcPr>
            <w:tcW w:type="dxa" w:w="4968"/>
            <w:vAlign w:val="center"/>
          </w:tcPr>
          <w:p>
            <w:pPr>
              <w:spacing w:after="0"/>
            </w:pPr>
            <w:r/>
            <w:r>
              <w:rPr>
                <w:rFonts w:ascii="Aptos" w:hAnsi="Aptos"/>
                <w:b w:val="0"/>
                <w:color w:val="1F2937"/>
                <w:sz w:val="18"/>
              </w:rPr>
              <w:t>Assess V1/V2 behavior, map it to V3, and identify parity gaps.</w:t>
            </w:r>
          </w:p>
        </w:tc>
      </w:tr>
      <w:tr>
        <w:tc>
          <w:tcPr>
            <w:tcW w:type="dxa" w:w="4968"/>
            <w:shd w:fill="D9EAF7"/>
            <w:vAlign w:val="center"/>
          </w:tcPr>
          <w:p>
            <w:pPr>
              <w:spacing w:after="0"/>
            </w:pPr>
            <w:r/>
            <w:r>
              <w:rPr>
                <w:rFonts w:ascii="Aptos" w:hAnsi="Aptos"/>
                <w:b/>
                <w:color w:val="17365D"/>
                <w:sz w:val="18"/>
              </w:rPr>
              <w:t>Primary focus</w:t>
            </w:r>
          </w:p>
        </w:tc>
        <w:tc>
          <w:tcPr>
            <w:tcW w:type="dxa" w:w="4968"/>
            <w:vAlign w:val="center"/>
          </w:tcPr>
          <w:p>
            <w:pPr>
              <w:spacing w:after="0"/>
            </w:pPr>
            <w:r/>
            <w:r>
              <w:rPr>
                <w:rFonts w:ascii="Aptos" w:hAnsi="Aptos"/>
                <w:b w:val="0"/>
                <w:color w:val="1F2937"/>
                <w:sz w:val="18"/>
              </w:rPr>
              <w:t>UPGRADE and PLAN CHANGE functionality.</w:t>
            </w:r>
          </w:p>
        </w:tc>
      </w:tr>
      <w:tr>
        <w:tc>
          <w:tcPr>
            <w:tcW w:type="dxa" w:w="4968"/>
            <w:shd w:fill="D9EAF7"/>
            <w:vAlign w:val="center"/>
          </w:tcPr>
          <w:p>
            <w:pPr>
              <w:spacing w:after="0"/>
            </w:pPr>
            <w:r/>
            <w:r>
              <w:rPr>
                <w:rFonts w:ascii="Aptos" w:hAnsi="Aptos"/>
                <w:b/>
                <w:color w:val="17365D"/>
                <w:sz w:val="18"/>
              </w:rPr>
              <w:t>Target architecture</w:t>
            </w:r>
          </w:p>
        </w:tc>
        <w:tc>
          <w:tcPr>
            <w:tcW w:type="dxa" w:w="4968"/>
            <w:vAlign w:val="center"/>
          </w:tcPr>
          <w:p>
            <w:pPr>
              <w:spacing w:after="0"/>
            </w:pPr>
            <w:r/>
            <w:r>
              <w:rPr>
                <w:rFonts w:ascii="Aptos" w:hAnsi="Aptos"/>
                <w:b w:val="0"/>
                <w:color w:val="1F2937"/>
                <w:sz w:val="18"/>
              </w:rPr>
              <w:t>Multi-country, multi-program V3 with businessContext-driven rules.</w:t>
            </w:r>
          </w:p>
        </w:tc>
      </w:tr>
      <w:tr>
        <w:tc>
          <w:tcPr>
            <w:tcW w:type="dxa" w:w="4968"/>
            <w:shd w:fill="D9EAF7"/>
            <w:vAlign w:val="center"/>
          </w:tcPr>
          <w:p>
            <w:pPr>
              <w:spacing w:after="0"/>
            </w:pPr>
            <w:r/>
            <w:r>
              <w:rPr>
                <w:rFonts w:ascii="Aptos" w:hAnsi="Aptos"/>
                <w:b/>
                <w:color w:val="17365D"/>
                <w:sz w:val="18"/>
              </w:rPr>
              <w:t>Source</w:t>
            </w:r>
          </w:p>
        </w:tc>
        <w:tc>
          <w:tcPr>
            <w:tcW w:type="dxa" w:w="4968"/>
            <w:vAlign w:val="center"/>
          </w:tcPr>
          <w:p>
            <w:pPr>
              <w:spacing w:after="0"/>
            </w:pPr>
            <w:r/>
            <w:r>
              <w:rPr>
                <w:rFonts w:ascii="Aptos" w:hAnsi="Aptos"/>
                <w:b w:val="0"/>
                <w:color w:val="1F2937"/>
                <w:sz w:val="18"/>
              </w:rPr>
              <w:t>planchangeupgrade.md from anjalitssl/sms (main branch).</w:t>
            </w:r>
          </w:p>
        </w:tc>
      </w:tr>
    </w:tbl>
    <w:p>
      <w:r>
        <w:br w:type="page"/>
      </w:r>
    </w:p>
    <w:p>
      <w:pPr>
        <w:pStyle w:val="Heading1"/>
      </w:pPr>
      <w:r>
        <w:t>Executive Summary</w:t>
      </w:r>
    </w:p>
    <w:p>
      <w:r>
        <w:rPr>
          <w:b/>
        </w:rPr>
        <w:t xml:space="preserve">Purpose. </w:t>
      </w:r>
      <w:r>
        <w:t>V1 was designed around a single country/program model. V3 combines V1 and V2 capabilities and introduces a flexible, multi-country, multi-business-line payload. The assessment identifies what is already implemented in V3 and what must be added to reach functional parity.</w:t>
      </w:r>
    </w:p>
    <w:p>
      <w:pPr>
        <w:pStyle w:val="Heading2"/>
      </w:pPr>
      <w:r>
        <w:t>Key Findings</w:t>
      </w:r>
    </w:p>
    <w:p>
      <w:pPr>
        <w:pStyle w:val="ListBullet"/>
        <w:spacing w:after="60"/>
        <w:ind w:left="360"/>
      </w:pPr>
      <w:r>
        <w:t>UPGRADE: Core request validation and hardware first-month proration are implemented in V3, but three important behaviors remain missing: lowest-overage pricing, old-subscription cleanup, and month-2 scheduled correction.</w:t>
      </w:r>
    </w:p>
    <w:p>
      <w:pPr>
        <w:pStyle w:val="ListBullet"/>
        <w:spacing w:after="60"/>
        <w:ind w:left="360"/>
      </w:pPr>
      <w:r>
        <w:t>PLAN CHANGE: V3 currently has no plan-change endpoint. The target design must combine V1 full pricing changes with V2 quantity-only changes.</w:t>
      </w:r>
    </w:p>
    <w:p>
      <w:pPr>
        <w:pStyle w:val="ListBullet"/>
        <w:spacing w:after="60"/>
        <w:ind w:left="360"/>
      </w:pPr>
      <w:r>
        <w:t>V3 should use businessContext and country as explicit dimensions for business rules instead of carrying forward V1/V2 program-specific hardcoding.</w:t>
      </w:r>
    </w:p>
    <w:p>
      <w:pPr>
        <w:pStyle w:val="ListBullet"/>
        <w:spacing w:after="60"/>
        <w:ind w:left="360"/>
      </w:pPr>
      <w:r>
        <w:t>V3 pricing logic must read from pricing.adjustments[] rather than the flat V1 pricing fields.</w:t>
      </w:r>
    </w:p>
    <w:p>
      <w:pPr>
        <w:pStyle w:val="ListBullet"/>
        <w:spacing w:after="60"/>
        <w:ind w:left="360"/>
      </w:pPr>
      <w:r>
        <w:t>V2's primaryCustomerId + primaryCustomerIdType model provides the flexible customer-identifier pattern that V3 should adopt.</w:t>
      </w:r>
    </w:p>
    <w:p>
      <w:pPr>
        <w:pStyle w:val="ListBullet"/>
        <w:spacing w:after="60"/>
        <w:ind w:left="360"/>
      </w:pPr>
      <w:r>
        <w:t>Downstream integration is dual-path: pricing/plan-swap changes use the Gekko/event pattern, while quantity changes use SCC/webhook confirmation.</w:t>
      </w:r>
    </w:p>
    <w:p>
      <w:pPr>
        <w:pStyle w:val="Heading2"/>
      </w:pPr>
      <w:r>
        <w:t>Parity Snapshot</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7365D"/>
            <w:vAlign w:val="center"/>
          </w:tcPr>
          <w:p>
            <w:pPr>
              <w:spacing w:after="0"/>
            </w:pPr>
            <w:r/>
            <w:r>
              <w:rPr>
                <w:rFonts w:ascii="Aptos" w:hAnsi="Aptos"/>
                <w:b/>
                <w:color w:val="FFFFFF"/>
                <w:sz w:val="17"/>
              </w:rPr>
              <w:t>Flow</w:t>
            </w:r>
          </w:p>
        </w:tc>
        <w:tc>
          <w:tcPr>
            <w:tcW w:type="dxa" w:w="4032"/>
            <w:shd w:fill="17365D"/>
            <w:vAlign w:val="center"/>
          </w:tcPr>
          <w:p>
            <w:pPr>
              <w:spacing w:after="0"/>
            </w:pPr>
            <w:r/>
            <w:r>
              <w:rPr>
                <w:rFonts w:ascii="Aptos" w:hAnsi="Aptos"/>
                <w:b/>
                <w:color w:val="FFFFFF"/>
                <w:sz w:val="17"/>
              </w:rPr>
              <w:t>Implemented in V3</w:t>
            </w:r>
          </w:p>
        </w:tc>
        <w:tc>
          <w:tcPr>
            <w:tcW w:type="dxa" w:w="4896"/>
            <w:shd w:fill="17365D"/>
            <w:vAlign w:val="center"/>
          </w:tcPr>
          <w:p>
            <w:pPr>
              <w:spacing w:after="0"/>
            </w:pPr>
            <w:r/>
            <w:r>
              <w:rPr>
                <w:rFonts w:ascii="Aptos" w:hAnsi="Aptos"/>
                <w:b/>
                <w:color w:val="FFFFFF"/>
                <w:sz w:val="17"/>
              </w:rPr>
              <w:t>Major Missing Capabilities</w:t>
            </w:r>
          </w:p>
        </w:tc>
      </w:tr>
      <w:tr>
        <w:tc>
          <w:tcPr>
            <w:tcW w:type="dxa" w:w="1728"/>
            <w:vAlign w:val="center"/>
          </w:tcPr>
          <w:p>
            <w:pPr>
              <w:spacing w:after="0"/>
            </w:pPr>
            <w:r/>
            <w:r>
              <w:rPr>
                <w:rFonts w:ascii="Aptos" w:hAnsi="Aptos"/>
                <w:b w:val="0"/>
                <w:color w:val="1F2937"/>
                <w:sz w:val="17"/>
              </w:rPr>
              <w:t>UPGRADE</w:t>
            </w:r>
          </w:p>
        </w:tc>
        <w:tc>
          <w:tcPr>
            <w:tcW w:type="dxa" w:w="4032"/>
            <w:vAlign w:val="center"/>
          </w:tcPr>
          <w:p>
            <w:pPr>
              <w:spacing w:after="0"/>
            </w:pPr>
            <w:r/>
            <w:r>
              <w:rPr>
                <w:rFonts w:ascii="Aptos" w:hAnsi="Aptos"/>
                <w:b w:val="0"/>
                <w:color w:val="1F2937"/>
                <w:sz w:val="17"/>
              </w:rPr>
              <w:t>Validation; parentOrderId linkage; returnShipmentFeeSku check; ACTIVE subscription check; HW proration</w:t>
            </w:r>
          </w:p>
        </w:tc>
        <w:tc>
          <w:tcPr>
            <w:tcW w:type="dxa" w:w="4896"/>
            <w:vAlign w:val="center"/>
          </w:tcPr>
          <w:p>
            <w:pPr>
              <w:spacing w:after="0"/>
            </w:pPr>
            <w:r/>
            <w:r>
              <w:rPr>
                <w:rFonts w:ascii="Aptos" w:hAnsi="Aptos"/>
                <w:b w:val="0"/>
                <w:color w:val="1F2937"/>
                <w:sz w:val="17"/>
              </w:rPr>
              <w:t>Lowest overage pricing; old-sub cleanup; month-2 SCC correction; rule matrix</w:t>
            </w:r>
          </w:p>
        </w:tc>
      </w:tr>
      <w:tr>
        <w:tc>
          <w:tcPr>
            <w:tcW w:type="dxa" w:w="1728"/>
            <w:shd w:fill="F4F7FA"/>
            <w:vAlign w:val="center"/>
          </w:tcPr>
          <w:p>
            <w:pPr>
              <w:spacing w:after="0"/>
            </w:pPr>
            <w:r/>
            <w:r>
              <w:rPr>
                <w:rFonts w:ascii="Aptos" w:hAnsi="Aptos"/>
                <w:b w:val="0"/>
                <w:color w:val="1F2937"/>
                <w:sz w:val="17"/>
              </w:rPr>
              <w:t>PLAN CHANGE</w:t>
            </w:r>
          </w:p>
        </w:tc>
        <w:tc>
          <w:tcPr>
            <w:tcW w:type="dxa" w:w="4032"/>
            <w:shd w:fill="F4F7FA"/>
            <w:vAlign w:val="center"/>
          </w:tcPr>
          <w:p>
            <w:pPr>
              <w:spacing w:after="0"/>
            </w:pPr>
            <w:r/>
            <w:r>
              <w:rPr>
                <w:rFonts w:ascii="Aptos" w:hAnsi="Aptos"/>
                <w:b w:val="0"/>
                <w:color w:val="1F2937"/>
                <w:sz w:val="17"/>
              </w:rPr>
              <w:t>No endpoint yet</w:t>
            </w:r>
          </w:p>
        </w:tc>
        <w:tc>
          <w:tcPr>
            <w:tcW w:type="dxa" w:w="4896"/>
            <w:shd w:fill="F4F7FA"/>
            <w:vAlign w:val="center"/>
          </w:tcPr>
          <w:p>
            <w:pPr>
              <w:spacing w:after="0"/>
            </w:pPr>
            <w:r/>
            <w:r>
              <w:rPr>
                <w:rFonts w:ascii="Aptos" w:hAnsi="Aptos"/>
                <w:b w:val="0"/>
                <w:color w:val="1F2937"/>
                <w:sz w:val="17"/>
              </w:rPr>
              <w:t>Endpoint; unified schema; queueing; effective-date logic; dedup; Gekko/SCC paths; confirmations; rule matrix</w:t>
            </w:r>
          </w:p>
        </w:tc>
      </w:tr>
    </w:tbl>
    <w:p>
      <w:pPr>
        <w:spacing w:after="40"/>
      </w:pPr>
    </w:p>
    <w:p>
      <w:pPr>
        <w:pStyle w:val="Heading1"/>
      </w:pPr>
      <w:r>
        <w:t>1. Purpose and Scope</w:t>
      </w:r>
    </w:p>
    <w:p>
      <w:r>
        <w:t>This document evaluates UPGRADE and PLAN CHANGE functionality by comparing V1 and V2 behavior with the current and target V3 design. It focuses on functional parity, field mapping, downstream integration, validation, concurrency, and multi-country/program extensibility.</w:t>
      </w:r>
    </w:p>
    <w:p>
      <w:pPr>
        <w:pStyle w:val="Heading1"/>
      </w:pPr>
      <w:r>
        <w:t>2. UPGRADE — V1 vs V3</w:t>
      </w:r>
    </w:p>
    <w:p>
      <w:pPr>
        <w:pStyle w:val="Heading2"/>
      </w:pPr>
      <w:r>
        <w:t>2.1 V1 Behavior Summary</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7"/>
              </w:rPr>
              <w:t>Capability</w:t>
            </w:r>
          </w:p>
        </w:tc>
        <w:tc>
          <w:tcPr>
            <w:tcW w:type="dxa" w:w="7776"/>
            <w:shd w:fill="17365D"/>
            <w:vAlign w:val="center"/>
          </w:tcPr>
          <w:p>
            <w:pPr>
              <w:spacing w:after="0"/>
            </w:pPr>
            <w:r/>
            <w:r>
              <w:rPr>
                <w:rFonts w:ascii="Aptos" w:hAnsi="Aptos"/>
                <w:b/>
                <w:color w:val="FFFFFF"/>
                <w:sz w:val="17"/>
              </w:rPr>
              <w:t>V1 Implementation</w:t>
            </w:r>
          </w:p>
        </w:tc>
      </w:tr>
      <w:tr>
        <w:tc>
          <w:tcPr>
            <w:tcW w:type="dxa" w:w="2880"/>
            <w:vAlign w:val="center"/>
          </w:tcPr>
          <w:p>
            <w:pPr>
              <w:spacing w:after="0"/>
            </w:pPr>
            <w:r/>
            <w:r>
              <w:rPr>
                <w:rFonts w:ascii="Aptos" w:hAnsi="Aptos"/>
                <w:b w:val="0"/>
                <w:color w:val="1F2937"/>
                <w:sz w:val="17"/>
              </w:rPr>
              <w:t>Trigger</w:t>
            </w:r>
          </w:p>
        </w:tc>
        <w:tc>
          <w:tcPr>
            <w:tcW w:type="dxa" w:w="7776"/>
            <w:vAlign w:val="center"/>
          </w:tcPr>
          <w:p>
            <w:pPr>
              <w:spacing w:after="0"/>
            </w:pPr>
            <w:r/>
            <w:r>
              <w:rPr>
                <w:rFonts w:ascii="Aptos" w:hAnsi="Aptos"/>
                <w:b w:val="0"/>
                <w:color w:val="1F2937"/>
                <w:sz w:val="17"/>
              </w:rPr>
              <w:t>POST /orders with customerOrderType=UPGRADE</w:t>
            </w:r>
          </w:p>
        </w:tc>
      </w:tr>
      <w:tr>
        <w:tc>
          <w:tcPr>
            <w:tcW w:type="dxa" w:w="2880"/>
            <w:shd w:fill="F4F7FA"/>
            <w:vAlign w:val="center"/>
          </w:tcPr>
          <w:p>
            <w:pPr>
              <w:spacing w:after="0"/>
            </w:pPr>
            <w:r/>
            <w:r>
              <w:rPr>
                <w:rFonts w:ascii="Aptos" w:hAnsi="Aptos"/>
                <w:b w:val="0"/>
                <w:color w:val="1F2937"/>
                <w:sz w:val="17"/>
              </w:rPr>
              <w:t>Old → New linkage</w:t>
            </w:r>
          </w:p>
        </w:tc>
        <w:tc>
          <w:tcPr>
            <w:tcW w:type="dxa" w:w="7776"/>
            <w:shd w:fill="F4F7FA"/>
            <w:vAlign w:val="center"/>
          </w:tcPr>
          <w:p>
            <w:pPr>
              <w:spacing w:after="0"/>
            </w:pPr>
            <w:r/>
            <w:r>
              <w:rPr>
                <w:rFonts w:ascii="Aptos" w:hAnsi="Aptos"/>
                <w:b w:val="0"/>
                <w:color w:val="1F2937"/>
                <w:sz w:val="17"/>
              </w:rPr>
              <w:t>productInfo.additionalItemInfo[parentOrderId] on onbooks_printer item</w:t>
            </w:r>
          </w:p>
        </w:tc>
      </w:tr>
      <w:tr>
        <w:tc>
          <w:tcPr>
            <w:tcW w:type="dxa" w:w="2880"/>
            <w:vAlign w:val="center"/>
          </w:tcPr>
          <w:p>
            <w:pPr>
              <w:spacing w:after="0"/>
            </w:pPr>
            <w:r/>
            <w:r>
              <w:rPr>
                <w:rFonts w:ascii="Aptos" w:hAnsi="Aptos"/>
                <w:b w:val="0"/>
                <w:color w:val="1F2937"/>
                <w:sz w:val="17"/>
              </w:rPr>
              <w:t>Mandatory item</w:t>
            </w:r>
          </w:p>
        </w:tc>
        <w:tc>
          <w:tcPr>
            <w:tcW w:type="dxa" w:w="7776"/>
            <w:vAlign w:val="center"/>
          </w:tcPr>
          <w:p>
            <w:pPr>
              <w:spacing w:after="0"/>
            </w:pPr>
            <w:r/>
            <w:r>
              <w:rPr>
                <w:rFonts w:ascii="Aptos" w:hAnsi="Aptos"/>
                <w:b w:val="0"/>
                <w:color w:val="1F2937"/>
                <w:sz w:val="17"/>
              </w:rPr>
              <w:t>returnShipmentFeeSku must be present</w:t>
            </w:r>
          </w:p>
        </w:tc>
      </w:tr>
      <w:tr>
        <w:tc>
          <w:tcPr>
            <w:tcW w:type="dxa" w:w="2880"/>
            <w:shd w:fill="F4F7FA"/>
            <w:vAlign w:val="center"/>
          </w:tcPr>
          <w:p>
            <w:pPr>
              <w:spacing w:after="0"/>
            </w:pPr>
            <w:r/>
            <w:r>
              <w:rPr>
                <w:rFonts w:ascii="Aptos" w:hAnsi="Aptos"/>
                <w:b w:val="0"/>
                <w:color w:val="1F2937"/>
                <w:sz w:val="17"/>
              </w:rPr>
              <w:t>Old subscription validation</w:t>
            </w:r>
          </w:p>
        </w:tc>
        <w:tc>
          <w:tcPr>
            <w:tcW w:type="dxa" w:w="7776"/>
            <w:shd w:fill="F4F7FA"/>
            <w:vAlign w:val="center"/>
          </w:tcPr>
          <w:p>
            <w:pPr>
              <w:spacing w:after="0"/>
            </w:pPr>
            <w:r/>
            <w:r>
              <w:rPr>
                <w:rFonts w:ascii="Aptos" w:hAnsi="Aptos"/>
                <w:b w:val="0"/>
                <w:color w:val="1F2937"/>
                <w:sz w:val="17"/>
              </w:rPr>
              <w:t>Base subscription for parentOrderId must exist and be ACTIVE</w:t>
            </w:r>
          </w:p>
        </w:tc>
      </w:tr>
      <w:tr>
        <w:tc>
          <w:tcPr>
            <w:tcW w:type="dxa" w:w="2880"/>
            <w:vAlign w:val="center"/>
          </w:tcPr>
          <w:p>
            <w:pPr>
              <w:spacing w:after="0"/>
            </w:pPr>
            <w:r/>
            <w:r>
              <w:rPr>
                <w:rFonts w:ascii="Aptos" w:hAnsi="Aptos"/>
                <w:b w:val="0"/>
                <w:color w:val="1F2937"/>
                <w:sz w:val="17"/>
              </w:rPr>
              <w:t>Overage transition pricing</w:t>
            </w:r>
          </w:p>
        </w:tc>
        <w:tc>
          <w:tcPr>
            <w:tcW w:type="dxa" w:w="7776"/>
            <w:vAlign w:val="center"/>
          </w:tcPr>
          <w:p>
            <w:pPr>
              <w:spacing w:after="0"/>
            </w:pPr>
            <w:r/>
            <w:r>
              <w:rPr>
                <w:rFonts w:ascii="Aptos" w:hAnsi="Aptos"/>
                <w:b w:val="0"/>
                <w:color w:val="1F2937"/>
                <w:sz w:val="17"/>
              </w:rPr>
              <w:t>Lowest of old vs new allocatedRevenue is used for pageSet in month 1</w:t>
            </w:r>
          </w:p>
        </w:tc>
      </w:tr>
      <w:tr>
        <w:tc>
          <w:tcPr>
            <w:tcW w:type="dxa" w:w="2880"/>
            <w:shd w:fill="F4F7FA"/>
            <w:vAlign w:val="center"/>
          </w:tcPr>
          <w:p>
            <w:pPr>
              <w:spacing w:after="0"/>
            </w:pPr>
            <w:r/>
            <w:r>
              <w:rPr>
                <w:rFonts w:ascii="Aptos" w:hAnsi="Aptos"/>
                <w:b w:val="0"/>
                <w:color w:val="1F2937"/>
                <w:sz w:val="17"/>
              </w:rPr>
              <w:t>Hardware proration</w:t>
            </w:r>
          </w:p>
        </w:tc>
        <w:tc>
          <w:tcPr>
            <w:tcW w:type="dxa" w:w="7776"/>
            <w:shd w:fill="F4F7FA"/>
            <w:vAlign w:val="center"/>
          </w:tcPr>
          <w:p>
            <w:pPr>
              <w:spacing w:after="0"/>
            </w:pPr>
            <w:r/>
            <w:r>
              <w:rPr>
                <w:rFonts w:ascii="Aptos" w:hAnsi="Aptos"/>
                <w:b w:val="0"/>
                <w:color w:val="1F2937"/>
                <w:sz w:val="17"/>
              </w:rPr>
              <w:t>UpgradeHWFirstMonthProratedCharges = (leaseAllocatedRevenue / daysInMonth) × activeBillingDays</w:t>
            </w:r>
          </w:p>
        </w:tc>
      </w:tr>
      <w:tr>
        <w:tc>
          <w:tcPr>
            <w:tcW w:type="dxa" w:w="2880"/>
            <w:vAlign w:val="center"/>
          </w:tcPr>
          <w:p>
            <w:pPr>
              <w:spacing w:after="0"/>
            </w:pPr>
            <w:r/>
            <w:r>
              <w:rPr>
                <w:rFonts w:ascii="Aptos" w:hAnsi="Aptos"/>
                <w:b w:val="0"/>
                <w:color w:val="1F2937"/>
                <w:sz w:val="17"/>
              </w:rPr>
              <w:t>Month-2 correction</w:t>
            </w:r>
          </w:p>
        </w:tc>
        <w:tc>
          <w:tcPr>
            <w:tcW w:type="dxa" w:w="7776"/>
            <w:vAlign w:val="center"/>
          </w:tcPr>
          <w:p>
            <w:pPr>
              <w:spacing w:after="0"/>
            </w:pPr>
            <w:r/>
            <w:r>
              <w:rPr>
                <w:rFonts w:ascii="Aptos" w:hAnsi="Aptos"/>
                <w:b w:val="0"/>
                <w:color w:val="1F2937"/>
                <w:sz w:val="17"/>
              </w:rPr>
              <w:t>Scheduled plan change (SCC) is triggered if new overage &gt; old overage</w:t>
            </w:r>
          </w:p>
        </w:tc>
      </w:tr>
      <w:tr>
        <w:tc>
          <w:tcPr>
            <w:tcW w:type="dxa" w:w="2880"/>
            <w:shd w:fill="F4F7FA"/>
            <w:vAlign w:val="center"/>
          </w:tcPr>
          <w:p>
            <w:pPr>
              <w:spacing w:after="0"/>
            </w:pPr>
            <w:r/>
            <w:r>
              <w:rPr>
                <w:rFonts w:ascii="Aptos" w:hAnsi="Aptos"/>
                <w:b w:val="0"/>
                <w:color w:val="1F2937"/>
                <w:sz w:val="17"/>
              </w:rPr>
              <w:t>Old subscription cleanup</w:t>
            </w:r>
          </w:p>
        </w:tc>
        <w:tc>
          <w:tcPr>
            <w:tcW w:type="dxa" w:w="7776"/>
            <w:shd w:fill="F4F7FA"/>
            <w:vAlign w:val="center"/>
          </w:tcPr>
          <w:p>
            <w:pPr>
              <w:spacing w:after="0"/>
            </w:pPr>
            <w:r/>
            <w:r>
              <w:rPr>
                <w:rFonts w:ascii="Aptos" w:hAnsi="Aptos"/>
                <w:b w:val="0"/>
                <w:color w:val="1F2937"/>
                <w:sz w:val="17"/>
              </w:rPr>
              <w:t>Undo overages (BMS), undo pending changes (SCC), then set status to DEACTIVATING</w:t>
            </w:r>
          </w:p>
        </w:tc>
      </w:tr>
      <w:tr>
        <w:tc>
          <w:tcPr>
            <w:tcW w:type="dxa" w:w="2880"/>
            <w:vAlign w:val="center"/>
          </w:tcPr>
          <w:p>
            <w:pPr>
              <w:spacing w:after="0"/>
            </w:pPr>
            <w:r/>
            <w:r>
              <w:rPr>
                <w:rFonts w:ascii="Aptos" w:hAnsi="Aptos"/>
                <w:b w:val="0"/>
                <w:color w:val="1F2937"/>
                <w:sz w:val="17"/>
              </w:rPr>
              <w:t>Idempotency</w:t>
            </w:r>
          </w:p>
        </w:tc>
        <w:tc>
          <w:tcPr>
            <w:tcW w:type="dxa" w:w="7776"/>
            <w:vAlign w:val="center"/>
          </w:tcPr>
          <w:p>
            <w:pPr>
              <w:spacing w:after="0"/>
            </w:pPr>
            <w:r/>
            <w:r>
              <w:rPr>
                <w:rFonts w:ascii="Aptos" w:hAnsi="Aptos"/>
                <w:b w:val="0"/>
                <w:color w:val="1F2937"/>
                <w:sz w:val="17"/>
              </w:rPr>
              <w:t>magentoOrderId</w:t>
            </w:r>
          </w:p>
        </w:tc>
      </w:tr>
    </w:tbl>
    <w:p>
      <w:pPr>
        <w:spacing w:after="40"/>
      </w:pPr>
    </w:p>
    <w:p>
      <w:pPr>
        <w:pStyle w:val="Heading2"/>
      </w:pPr>
      <w:r>
        <w:t>2.2 V3 Current Implementation Status</w:t>
      </w:r>
    </w:p>
    <w:tbl>
      <w:tblPr>
        <w:tblStyle w:val="TableGrid"/>
        <w:tblW w:type="auto" w:w="0"/>
        <w:jc w:val="center"/>
        <w:tblLook w:firstColumn="1" w:firstRow="1" w:lastColumn="0" w:lastRow="0" w:noHBand="0" w:noVBand="1" w:val="04A0"/>
      </w:tblPr>
      <w:tblGrid>
        <w:gridCol w:w="4968"/>
        <w:gridCol w:w="4968"/>
      </w:tblGrid>
      <w:tr>
        <w:tc>
          <w:tcPr>
            <w:tcW w:type="dxa" w:w="3312"/>
            <w:shd w:fill="17365D"/>
            <w:vAlign w:val="center"/>
          </w:tcPr>
          <w:p>
            <w:pPr>
              <w:spacing w:after="0"/>
            </w:pPr>
            <w:r/>
            <w:r>
              <w:rPr>
                <w:rFonts w:ascii="Aptos" w:hAnsi="Aptos"/>
                <w:b/>
                <w:color w:val="FFFFFF"/>
                <w:sz w:val="17"/>
              </w:rPr>
              <w:t>Capability</w:t>
            </w:r>
          </w:p>
        </w:tc>
        <w:tc>
          <w:tcPr>
            <w:tcW w:type="dxa" w:w="7344"/>
            <w:shd w:fill="17365D"/>
            <w:vAlign w:val="center"/>
          </w:tcPr>
          <w:p>
            <w:pPr>
              <w:spacing w:after="0"/>
            </w:pPr>
            <w:r/>
            <w:r>
              <w:rPr>
                <w:rFonts w:ascii="Aptos" w:hAnsi="Aptos"/>
                <w:b/>
                <w:color w:val="FFFFFF"/>
                <w:sz w:val="17"/>
              </w:rPr>
              <w:t>V3 Status</w:t>
            </w:r>
          </w:p>
        </w:tc>
      </w:tr>
      <w:tr>
        <w:tc>
          <w:tcPr>
            <w:tcW w:type="dxa" w:w="3312"/>
            <w:vAlign w:val="center"/>
          </w:tcPr>
          <w:p>
            <w:pPr>
              <w:spacing w:after="0"/>
            </w:pPr>
            <w:r/>
            <w:r>
              <w:rPr>
                <w:rFonts w:ascii="Aptos" w:hAnsi="Aptos"/>
                <w:b w:val="0"/>
                <w:color w:val="1F2937"/>
                <w:sz w:val="17"/>
              </w:rPr>
              <w:t>Trigger</w:t>
            </w:r>
          </w:p>
        </w:tc>
        <w:tc>
          <w:tcPr>
            <w:tcW w:type="dxa" w:w="7344"/>
            <w:vAlign w:val="center"/>
          </w:tcPr>
          <w:p>
            <w:pPr>
              <w:spacing w:after="0"/>
            </w:pPr>
            <w:r/>
            <w:r>
              <w:rPr>
                <w:rFonts w:ascii="Aptos" w:hAnsi="Aptos"/>
                <w:b/>
                <w:color w:val="70AD47"/>
                <w:sz w:val="17"/>
              </w:rPr>
              <w:t>✅ Implemented — POST /v3/orders with orderType=UPGRADE</w:t>
            </w:r>
          </w:p>
        </w:tc>
      </w:tr>
      <w:tr>
        <w:tc>
          <w:tcPr>
            <w:tcW w:type="dxa" w:w="3312"/>
            <w:shd w:fill="F4F7FA"/>
            <w:vAlign w:val="center"/>
          </w:tcPr>
          <w:p>
            <w:pPr>
              <w:spacing w:after="0"/>
            </w:pPr>
            <w:r/>
            <w:r>
              <w:rPr>
                <w:rFonts w:ascii="Aptos" w:hAnsi="Aptos"/>
                <w:b w:val="0"/>
                <w:color w:val="1F2937"/>
                <w:sz w:val="17"/>
              </w:rPr>
              <w:t>Old → New linkage</w:t>
            </w:r>
          </w:p>
        </w:tc>
        <w:tc>
          <w:tcPr>
            <w:tcW w:type="dxa" w:w="7344"/>
            <w:shd w:fill="F4F7FA"/>
            <w:vAlign w:val="center"/>
          </w:tcPr>
          <w:p>
            <w:pPr>
              <w:spacing w:after="0"/>
            </w:pPr>
            <w:r/>
            <w:r>
              <w:rPr>
                <w:rFonts w:ascii="Aptos" w:hAnsi="Aptos"/>
                <w:b/>
                <w:color w:val="70AD47"/>
                <w:sz w:val="17"/>
              </w:rPr>
              <w:t>✅ Implemented — item.additionalItemInfo[parentOrderId]</w:t>
            </w:r>
          </w:p>
        </w:tc>
      </w:tr>
      <w:tr>
        <w:tc>
          <w:tcPr>
            <w:tcW w:type="dxa" w:w="3312"/>
            <w:vAlign w:val="center"/>
          </w:tcPr>
          <w:p>
            <w:pPr>
              <w:spacing w:after="0"/>
            </w:pPr>
            <w:r/>
            <w:r>
              <w:rPr>
                <w:rFonts w:ascii="Aptos" w:hAnsi="Aptos"/>
                <w:b w:val="0"/>
                <w:color w:val="1F2937"/>
                <w:sz w:val="17"/>
              </w:rPr>
              <w:t>Mandatory item</w:t>
            </w:r>
          </w:p>
        </w:tc>
        <w:tc>
          <w:tcPr>
            <w:tcW w:type="dxa" w:w="7344"/>
            <w:vAlign w:val="center"/>
          </w:tcPr>
          <w:p>
            <w:pPr>
              <w:spacing w:after="0"/>
            </w:pPr>
            <w:r/>
            <w:r>
              <w:rPr>
                <w:rFonts w:ascii="Aptos" w:hAnsi="Aptos"/>
                <w:b/>
                <w:color w:val="70AD47"/>
                <w:sz w:val="17"/>
              </w:rPr>
              <w:t>✅ Implemented — returnShipmentFeeSku validation</w:t>
            </w:r>
          </w:p>
        </w:tc>
      </w:tr>
      <w:tr>
        <w:tc>
          <w:tcPr>
            <w:tcW w:type="dxa" w:w="3312"/>
            <w:shd w:fill="F4F7FA"/>
            <w:vAlign w:val="center"/>
          </w:tcPr>
          <w:p>
            <w:pPr>
              <w:spacing w:after="0"/>
            </w:pPr>
            <w:r/>
            <w:r>
              <w:rPr>
                <w:rFonts w:ascii="Aptos" w:hAnsi="Aptos"/>
                <w:b w:val="0"/>
                <w:color w:val="1F2937"/>
                <w:sz w:val="17"/>
              </w:rPr>
              <w:t>Old subscription validation</w:t>
            </w:r>
          </w:p>
        </w:tc>
        <w:tc>
          <w:tcPr>
            <w:tcW w:type="dxa" w:w="7344"/>
            <w:shd w:fill="F4F7FA"/>
            <w:vAlign w:val="center"/>
          </w:tcPr>
          <w:p>
            <w:pPr>
              <w:spacing w:after="0"/>
            </w:pPr>
            <w:r/>
            <w:r>
              <w:rPr>
                <w:rFonts w:ascii="Aptos" w:hAnsi="Aptos"/>
                <w:b/>
                <w:color w:val="70AD47"/>
                <w:sz w:val="17"/>
              </w:rPr>
              <w:t>✅ Implemented — SubscriptionDaoV3; BASE + ACTIVE</w:t>
            </w:r>
          </w:p>
        </w:tc>
      </w:tr>
      <w:tr>
        <w:tc>
          <w:tcPr>
            <w:tcW w:type="dxa" w:w="3312"/>
            <w:vAlign w:val="center"/>
          </w:tcPr>
          <w:p>
            <w:pPr>
              <w:spacing w:after="0"/>
            </w:pPr>
            <w:r/>
            <w:r>
              <w:rPr>
                <w:rFonts w:ascii="Aptos" w:hAnsi="Aptos"/>
                <w:b w:val="0"/>
                <w:color w:val="1F2937"/>
                <w:sz w:val="17"/>
              </w:rPr>
              <w:t>Overage transition pricing</w:t>
            </w:r>
          </w:p>
        </w:tc>
        <w:tc>
          <w:tcPr>
            <w:tcW w:type="dxa" w:w="7344"/>
            <w:vAlign w:val="center"/>
          </w:tcPr>
          <w:p>
            <w:pPr>
              <w:spacing w:after="0"/>
            </w:pPr>
            <w:r/>
            <w:r>
              <w:rPr>
                <w:rFonts w:ascii="Aptos" w:hAnsi="Aptos"/>
                <w:b/>
                <w:color w:val="C00000"/>
                <w:sz w:val="17"/>
              </w:rPr>
              <w:t>❌ Missing — no equivalent of computeAllocatedRevenue for pageSet</w:t>
            </w:r>
          </w:p>
        </w:tc>
      </w:tr>
      <w:tr>
        <w:tc>
          <w:tcPr>
            <w:tcW w:type="dxa" w:w="3312"/>
            <w:shd w:fill="F4F7FA"/>
            <w:vAlign w:val="center"/>
          </w:tcPr>
          <w:p>
            <w:pPr>
              <w:spacing w:after="0"/>
            </w:pPr>
            <w:r/>
            <w:r>
              <w:rPr>
                <w:rFonts w:ascii="Aptos" w:hAnsi="Aptos"/>
                <w:b w:val="0"/>
                <w:color w:val="1F2937"/>
                <w:sz w:val="17"/>
              </w:rPr>
              <w:t>Hardware proration</w:t>
            </w:r>
          </w:p>
        </w:tc>
        <w:tc>
          <w:tcPr>
            <w:tcW w:type="dxa" w:w="7344"/>
            <w:shd w:fill="F4F7FA"/>
            <w:vAlign w:val="center"/>
          </w:tcPr>
          <w:p>
            <w:pPr>
              <w:spacing w:after="0"/>
            </w:pPr>
            <w:r/>
            <w:r>
              <w:rPr>
                <w:rFonts w:ascii="Aptos" w:hAnsi="Aptos"/>
                <w:b/>
                <w:color w:val="70AD47"/>
                <w:sz w:val="17"/>
              </w:rPr>
              <w:t>✅ Implemented — calculateAndSetUpgradeHWFirstMonthProratedCharges</w:t>
            </w:r>
          </w:p>
        </w:tc>
      </w:tr>
      <w:tr>
        <w:tc>
          <w:tcPr>
            <w:tcW w:type="dxa" w:w="3312"/>
            <w:vAlign w:val="center"/>
          </w:tcPr>
          <w:p>
            <w:pPr>
              <w:spacing w:after="0"/>
            </w:pPr>
            <w:r/>
            <w:r>
              <w:rPr>
                <w:rFonts w:ascii="Aptos" w:hAnsi="Aptos"/>
                <w:b w:val="0"/>
                <w:color w:val="1F2937"/>
                <w:sz w:val="17"/>
              </w:rPr>
              <w:t>Month-2 scheduled correction</w:t>
            </w:r>
          </w:p>
        </w:tc>
        <w:tc>
          <w:tcPr>
            <w:tcW w:type="dxa" w:w="7344"/>
            <w:vAlign w:val="center"/>
          </w:tcPr>
          <w:p>
            <w:pPr>
              <w:spacing w:after="0"/>
            </w:pPr>
            <w:r/>
            <w:r>
              <w:rPr>
                <w:rFonts w:ascii="Aptos" w:hAnsi="Aptos"/>
                <w:b/>
                <w:color w:val="C00000"/>
                <w:sz w:val="17"/>
              </w:rPr>
              <w:t>❌ Missing</w:t>
            </w:r>
          </w:p>
        </w:tc>
      </w:tr>
      <w:tr>
        <w:tc>
          <w:tcPr>
            <w:tcW w:type="dxa" w:w="3312"/>
            <w:shd w:fill="F4F7FA"/>
            <w:vAlign w:val="center"/>
          </w:tcPr>
          <w:p>
            <w:pPr>
              <w:spacing w:after="0"/>
            </w:pPr>
            <w:r/>
            <w:r>
              <w:rPr>
                <w:rFonts w:ascii="Aptos" w:hAnsi="Aptos"/>
                <w:b w:val="0"/>
                <w:color w:val="1F2937"/>
                <w:sz w:val="17"/>
              </w:rPr>
              <w:t>Old subscription cleanup</w:t>
            </w:r>
          </w:p>
        </w:tc>
        <w:tc>
          <w:tcPr>
            <w:tcW w:type="dxa" w:w="7344"/>
            <w:shd w:fill="F4F7FA"/>
            <w:vAlign w:val="center"/>
          </w:tcPr>
          <w:p>
            <w:pPr>
              <w:spacing w:after="0"/>
            </w:pPr>
            <w:r/>
            <w:r>
              <w:rPr>
                <w:rFonts w:ascii="Aptos" w:hAnsi="Aptos"/>
                <w:b/>
                <w:color w:val="C00000"/>
                <w:sz w:val="17"/>
              </w:rPr>
              <w:t>❌ Missing — no processAcceptedUpgradeOrder equivalent</w:t>
            </w:r>
          </w:p>
        </w:tc>
      </w:tr>
      <w:tr>
        <w:tc>
          <w:tcPr>
            <w:tcW w:type="dxa" w:w="3312"/>
            <w:vAlign w:val="center"/>
          </w:tcPr>
          <w:p>
            <w:pPr>
              <w:spacing w:after="0"/>
            </w:pPr>
            <w:r/>
            <w:r>
              <w:rPr>
                <w:rFonts w:ascii="Aptos" w:hAnsi="Aptos"/>
                <w:b w:val="0"/>
                <w:color w:val="1F2937"/>
                <w:sz w:val="17"/>
              </w:rPr>
              <w:t>Idempotency</w:t>
            </w:r>
          </w:p>
        </w:tc>
        <w:tc>
          <w:tcPr>
            <w:tcW w:type="dxa" w:w="7344"/>
            <w:vAlign w:val="center"/>
          </w:tcPr>
          <w:p>
            <w:pPr>
              <w:spacing w:after="0"/>
            </w:pPr>
            <w:r/>
            <w:r>
              <w:rPr>
                <w:rFonts w:ascii="Aptos" w:hAnsi="Aptos"/>
                <w:b/>
                <w:color w:val="70AD47"/>
                <w:sz w:val="17"/>
              </w:rPr>
              <w:t>✅ Implemented — orderReferenceId</w:t>
            </w:r>
          </w:p>
        </w:tc>
      </w:tr>
    </w:tbl>
    <w:p>
      <w:pPr>
        <w:spacing w:after="40"/>
      </w:pPr>
    </w:p>
    <w:p>
      <w:pPr>
        <w:pStyle w:val="Heading2"/>
      </w:pPr>
      <w:r>
        <w:t>2.3 Upgrade Field Mapping</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7365D"/>
            <w:vAlign w:val="center"/>
          </w:tcPr>
          <w:p>
            <w:pPr>
              <w:spacing w:after="0"/>
            </w:pPr>
            <w:r/>
            <w:r>
              <w:rPr>
                <w:rFonts w:ascii="Aptos" w:hAnsi="Aptos"/>
                <w:b/>
                <w:color w:val="FFFFFF"/>
                <w:sz w:val="17"/>
              </w:rPr>
              <w:t>V1 Field</w:t>
            </w:r>
          </w:p>
        </w:tc>
        <w:tc>
          <w:tcPr>
            <w:tcW w:type="dxa" w:w="3744"/>
            <w:shd w:fill="17365D"/>
            <w:vAlign w:val="center"/>
          </w:tcPr>
          <w:p>
            <w:pPr>
              <w:spacing w:after="0"/>
            </w:pPr>
            <w:r/>
            <w:r>
              <w:rPr>
                <w:rFonts w:ascii="Aptos" w:hAnsi="Aptos"/>
                <w:b/>
                <w:color w:val="FFFFFF"/>
                <w:sz w:val="17"/>
              </w:rPr>
              <w:t>V3 Field</w:t>
            </w:r>
          </w:p>
        </w:tc>
        <w:tc>
          <w:tcPr>
            <w:tcW w:type="dxa" w:w="4032"/>
            <w:shd w:fill="17365D"/>
            <w:vAlign w:val="center"/>
          </w:tcPr>
          <w:p>
            <w:pPr>
              <w:spacing w:after="0"/>
            </w:pPr>
            <w:r/>
            <w:r>
              <w:rPr>
                <w:rFonts w:ascii="Aptos" w:hAnsi="Aptos"/>
                <w:b/>
                <w:color w:val="FFFFFF"/>
                <w:sz w:val="17"/>
              </w:rPr>
              <w:t>Notes</w:t>
            </w:r>
          </w:p>
        </w:tc>
      </w:tr>
      <w:tr>
        <w:tc>
          <w:tcPr>
            <w:tcW w:type="dxa" w:w="2880"/>
            <w:vAlign w:val="center"/>
          </w:tcPr>
          <w:p>
            <w:pPr>
              <w:spacing w:after="0"/>
            </w:pPr>
            <w:r/>
            <w:r>
              <w:rPr>
                <w:rFonts w:ascii="Aptos" w:hAnsi="Aptos"/>
                <w:b w:val="0"/>
                <w:color w:val="1F2937"/>
                <w:sz w:val="17"/>
              </w:rPr>
              <w:t>magentoOrderId</w:t>
            </w:r>
          </w:p>
        </w:tc>
        <w:tc>
          <w:tcPr>
            <w:tcW w:type="dxa" w:w="3744"/>
            <w:vAlign w:val="center"/>
          </w:tcPr>
          <w:p>
            <w:pPr>
              <w:spacing w:after="0"/>
            </w:pPr>
            <w:r/>
            <w:r>
              <w:rPr>
                <w:rFonts w:ascii="Aptos" w:hAnsi="Aptos"/>
                <w:b w:val="0"/>
                <w:color w:val="1F2937"/>
                <w:sz w:val="17"/>
              </w:rPr>
              <w:t>orderReferenceId</w:t>
            </w:r>
          </w:p>
        </w:tc>
        <w:tc>
          <w:tcPr>
            <w:tcW w:type="dxa" w:w="4032"/>
            <w:vAlign w:val="center"/>
          </w:tcPr>
          <w:p>
            <w:pPr>
              <w:spacing w:after="0"/>
            </w:pPr>
            <w:r/>
            <w:r>
              <w:rPr>
                <w:rFonts w:ascii="Aptos" w:hAnsi="Aptos"/>
                <w:b w:val="0"/>
                <w:color w:val="1F2937"/>
                <w:sz w:val="17"/>
              </w:rPr>
              <w:t>Alphanumeric, cross-program key</w:t>
            </w:r>
          </w:p>
        </w:tc>
      </w:tr>
      <w:tr>
        <w:tc>
          <w:tcPr>
            <w:tcW w:type="dxa" w:w="2880"/>
            <w:shd w:fill="F4F7FA"/>
            <w:vAlign w:val="center"/>
          </w:tcPr>
          <w:p>
            <w:pPr>
              <w:spacing w:after="0"/>
            </w:pPr>
            <w:r/>
            <w:r>
              <w:rPr>
                <w:rFonts w:ascii="Aptos" w:hAnsi="Aptos"/>
                <w:b w:val="0"/>
                <w:color w:val="1F2937"/>
                <w:sz w:val="17"/>
              </w:rPr>
              <w:t>customerOrderType</w:t>
            </w:r>
          </w:p>
        </w:tc>
        <w:tc>
          <w:tcPr>
            <w:tcW w:type="dxa" w:w="3744"/>
            <w:shd w:fill="F4F7FA"/>
            <w:vAlign w:val="center"/>
          </w:tcPr>
          <w:p>
            <w:pPr>
              <w:spacing w:after="0"/>
            </w:pPr>
            <w:r/>
            <w:r>
              <w:rPr>
                <w:rFonts w:ascii="Aptos" w:hAnsi="Aptos"/>
                <w:b w:val="0"/>
                <w:color w:val="1F2937"/>
                <w:sz w:val="17"/>
              </w:rPr>
              <w:t>orderType</w:t>
            </w:r>
          </w:p>
        </w:tc>
        <w:tc>
          <w:tcPr>
            <w:tcW w:type="dxa" w:w="4032"/>
            <w:shd w:fill="F4F7FA"/>
            <w:vAlign w:val="center"/>
          </w:tcPr>
          <w:p>
            <w:pPr>
              <w:spacing w:after="0"/>
            </w:pPr>
            <w:r/>
            <w:r>
              <w:rPr>
                <w:rFonts w:ascii="Aptos" w:hAnsi="Aptos"/>
                <w:b w:val="0"/>
                <w:color w:val="1F2937"/>
                <w:sz w:val="17"/>
              </w:rPr>
              <w:t>Same enum concept</w:t>
            </w:r>
          </w:p>
        </w:tc>
      </w:tr>
      <w:tr>
        <w:tc>
          <w:tcPr>
            <w:tcW w:type="dxa" w:w="2880"/>
            <w:vAlign w:val="center"/>
          </w:tcPr>
          <w:p>
            <w:pPr>
              <w:spacing w:after="0"/>
            </w:pPr>
            <w:r/>
            <w:r>
              <w:rPr>
                <w:rFonts w:ascii="Aptos" w:hAnsi="Aptos"/>
                <w:b w:val="0"/>
                <w:color w:val="1F2937"/>
                <w:sz w:val="17"/>
              </w:rPr>
              <w:t>productInfo.additionalItemInfo</w:t>
            </w:r>
          </w:p>
        </w:tc>
        <w:tc>
          <w:tcPr>
            <w:tcW w:type="dxa" w:w="3744"/>
            <w:vAlign w:val="center"/>
          </w:tcPr>
          <w:p>
            <w:pPr>
              <w:spacing w:after="0"/>
            </w:pPr>
            <w:r/>
            <w:r>
              <w:rPr>
                <w:rFonts w:ascii="Aptos" w:hAnsi="Aptos"/>
                <w:b w:val="0"/>
                <w:color w:val="1F2937"/>
                <w:sz w:val="17"/>
              </w:rPr>
              <w:t>item.additionalItemInfo</w:t>
            </w:r>
          </w:p>
        </w:tc>
        <w:tc>
          <w:tcPr>
            <w:tcW w:type="dxa" w:w="4032"/>
            <w:vAlign w:val="center"/>
          </w:tcPr>
          <w:p>
            <w:pPr>
              <w:spacing w:after="0"/>
            </w:pPr>
            <w:r/>
            <w:r>
              <w:rPr>
                <w:rFonts w:ascii="Aptos" w:hAnsi="Aptos"/>
                <w:b w:val="0"/>
                <w:color w:val="1F2937"/>
                <w:sz w:val="17"/>
              </w:rPr>
              <w:t>List → Map structure</w:t>
            </w:r>
          </w:p>
        </w:tc>
      </w:tr>
      <w:tr>
        <w:tc>
          <w:tcPr>
            <w:tcW w:type="dxa" w:w="2880"/>
            <w:shd w:fill="F4F7FA"/>
            <w:vAlign w:val="center"/>
          </w:tcPr>
          <w:p>
            <w:pPr>
              <w:spacing w:after="0"/>
            </w:pPr>
            <w:r/>
            <w:r>
              <w:rPr>
                <w:rFonts w:ascii="Aptos" w:hAnsi="Aptos"/>
                <w:b w:val="0"/>
                <w:color w:val="1F2937"/>
                <w:sz w:val="17"/>
              </w:rPr>
              <w:t>parentOrderId</w:t>
            </w:r>
          </w:p>
        </w:tc>
        <w:tc>
          <w:tcPr>
            <w:tcW w:type="dxa" w:w="3744"/>
            <w:shd w:fill="F4F7FA"/>
            <w:vAlign w:val="center"/>
          </w:tcPr>
          <w:p>
            <w:pPr>
              <w:spacing w:after="0"/>
            </w:pPr>
            <w:r/>
            <w:r>
              <w:rPr>
                <w:rFonts w:ascii="Aptos" w:hAnsi="Aptos"/>
                <w:b w:val="0"/>
                <w:color w:val="1F2937"/>
                <w:sz w:val="17"/>
              </w:rPr>
              <w:t>item.additionalItemInfo.parentOrderId + metadata.parentOrderId</w:t>
            </w:r>
          </w:p>
        </w:tc>
        <w:tc>
          <w:tcPr>
            <w:tcW w:type="dxa" w:w="4032"/>
            <w:shd w:fill="F4F7FA"/>
            <w:vAlign w:val="center"/>
          </w:tcPr>
          <w:p>
            <w:pPr>
              <w:spacing w:after="0"/>
            </w:pPr>
            <w:r/>
            <w:r>
              <w:rPr>
                <w:rFonts w:ascii="Aptos" w:hAnsi="Aptos"/>
                <w:b w:val="0"/>
                <w:color w:val="1F2937"/>
                <w:sz w:val="17"/>
              </w:rPr>
              <w:t>V3 currently has two locations; a single source of truth is needed</w:t>
            </w:r>
          </w:p>
        </w:tc>
      </w:tr>
      <w:tr>
        <w:tc>
          <w:tcPr>
            <w:tcW w:type="dxa" w:w="2880"/>
            <w:vAlign w:val="center"/>
          </w:tcPr>
          <w:p>
            <w:pPr>
              <w:spacing w:after="0"/>
            </w:pPr>
            <w:r/>
            <w:r>
              <w:rPr>
                <w:rFonts w:ascii="Aptos" w:hAnsi="Aptos"/>
                <w:b w:val="0"/>
                <w:color w:val="1F2937"/>
                <w:sz w:val="17"/>
              </w:rPr>
              <w:t>productInfo.allocatedRevenue</w:t>
            </w:r>
          </w:p>
        </w:tc>
        <w:tc>
          <w:tcPr>
            <w:tcW w:type="dxa" w:w="3744"/>
            <w:vAlign w:val="center"/>
          </w:tcPr>
          <w:p>
            <w:pPr>
              <w:spacing w:after="0"/>
            </w:pPr>
            <w:r/>
            <w:r>
              <w:rPr>
                <w:rFonts w:ascii="Aptos" w:hAnsi="Aptos"/>
                <w:b w:val="0"/>
                <w:color w:val="1F2937"/>
                <w:sz w:val="17"/>
              </w:rPr>
              <w:t>item.pricing.adjustments[type=ALLOCATED_REVENUE].amount</w:t>
            </w:r>
          </w:p>
        </w:tc>
        <w:tc>
          <w:tcPr>
            <w:tcW w:type="dxa" w:w="4032"/>
            <w:vAlign w:val="center"/>
          </w:tcPr>
          <w:p>
            <w:pPr>
              <w:spacing w:after="0"/>
            </w:pPr>
            <w:r/>
            <w:r>
              <w:rPr>
                <w:rFonts w:ascii="Aptos" w:hAnsi="Aptos"/>
                <w:b w:val="0"/>
                <w:color w:val="1F2937"/>
                <w:sz w:val="17"/>
              </w:rPr>
              <w:t>Flat field moved into adjustments array</w:t>
            </w:r>
          </w:p>
        </w:tc>
      </w:tr>
      <w:tr>
        <w:tc>
          <w:tcPr>
            <w:tcW w:type="dxa" w:w="2880"/>
            <w:shd w:fill="F4F7FA"/>
            <w:vAlign w:val="center"/>
          </w:tcPr>
          <w:p>
            <w:pPr>
              <w:spacing w:after="0"/>
            </w:pPr>
            <w:r/>
            <w:r>
              <w:rPr>
                <w:rFonts w:ascii="Aptos" w:hAnsi="Aptos"/>
                <w:b w:val="0"/>
                <w:color w:val="1F2937"/>
                <w:sz w:val="17"/>
              </w:rPr>
              <w:t>chargeInfo.upgradeHWFirstMonthProratedCharges</w:t>
            </w:r>
          </w:p>
        </w:tc>
        <w:tc>
          <w:tcPr>
            <w:tcW w:type="dxa" w:w="3744"/>
            <w:shd w:fill="F4F7FA"/>
            <w:vAlign w:val="center"/>
          </w:tcPr>
          <w:p>
            <w:pPr>
              <w:spacing w:after="0"/>
            </w:pPr>
            <w:r/>
            <w:r>
              <w:rPr>
                <w:rFonts w:ascii="Aptos" w:hAnsi="Aptos"/>
                <w:b w:val="0"/>
                <w:color w:val="1F2937"/>
                <w:sz w:val="17"/>
              </w:rPr>
              <w:t>pricing.upgradeHWFirstMonthProratedCharges</w:t>
            </w:r>
          </w:p>
        </w:tc>
        <w:tc>
          <w:tcPr>
            <w:tcW w:type="dxa" w:w="4032"/>
            <w:shd w:fill="F4F7FA"/>
            <w:vAlign w:val="center"/>
          </w:tcPr>
          <w:p>
            <w:pPr>
              <w:spacing w:after="0"/>
            </w:pPr>
            <w:r/>
            <w:r>
              <w:rPr>
                <w:rFonts w:ascii="Aptos" w:hAnsi="Aptos"/>
                <w:b w:val="0"/>
                <w:color w:val="1F2937"/>
                <w:sz w:val="17"/>
              </w:rPr>
              <w:t>Same concept, new location</w:t>
            </w:r>
          </w:p>
        </w:tc>
      </w:tr>
      <w:tr>
        <w:tc>
          <w:tcPr>
            <w:tcW w:type="dxa" w:w="2880"/>
            <w:vAlign w:val="center"/>
          </w:tcPr>
          <w:p>
            <w:pPr>
              <w:spacing w:after="0"/>
            </w:pPr>
            <w:r/>
            <w:r>
              <w:rPr>
                <w:rFonts w:ascii="Aptos" w:hAnsi="Aptos"/>
                <w:b w:val="0"/>
                <w:color w:val="1F2937"/>
                <w:sz w:val="17"/>
              </w:rPr>
              <w:t>N/A</w:t>
            </w:r>
          </w:p>
        </w:tc>
        <w:tc>
          <w:tcPr>
            <w:tcW w:type="dxa" w:w="3744"/>
            <w:vAlign w:val="center"/>
          </w:tcPr>
          <w:p>
            <w:pPr>
              <w:spacing w:after="0"/>
            </w:pPr>
            <w:r/>
            <w:r>
              <w:rPr>
                <w:rFonts w:ascii="Aptos" w:hAnsi="Aptos"/>
                <w:b w:val="0"/>
                <w:color w:val="1F2937"/>
                <w:sz w:val="17"/>
              </w:rPr>
              <w:t>metadata.businessContext</w:t>
            </w:r>
          </w:p>
        </w:tc>
        <w:tc>
          <w:tcPr>
            <w:tcW w:type="dxa" w:w="4032"/>
            <w:vAlign w:val="center"/>
          </w:tcPr>
          <w:p>
            <w:pPr>
              <w:spacing w:after="0"/>
            </w:pPr>
            <w:r/>
            <w:r>
              <w:rPr>
                <w:rFonts w:ascii="Aptos" w:hAnsi="Aptos"/>
                <w:b w:val="0"/>
                <w:color w:val="1F2937"/>
                <w:sz w:val="17"/>
              </w:rPr>
              <w:t>New required field; drives program-specific validation</w:t>
            </w:r>
          </w:p>
        </w:tc>
      </w:tr>
      <w:tr>
        <w:tc>
          <w:tcPr>
            <w:tcW w:type="dxa" w:w="2880"/>
            <w:shd w:fill="F4F7FA"/>
            <w:vAlign w:val="center"/>
          </w:tcPr>
          <w:p>
            <w:pPr>
              <w:spacing w:after="0"/>
            </w:pPr>
            <w:r/>
            <w:r>
              <w:rPr>
                <w:rFonts w:ascii="Aptos" w:hAnsi="Aptos"/>
                <w:b w:val="0"/>
                <w:color w:val="1F2937"/>
                <w:sz w:val="17"/>
              </w:rPr>
              <w:t>Implicit country</w:t>
            </w:r>
          </w:p>
        </w:tc>
        <w:tc>
          <w:tcPr>
            <w:tcW w:type="dxa" w:w="3744"/>
            <w:shd w:fill="F4F7FA"/>
            <w:vAlign w:val="center"/>
          </w:tcPr>
          <w:p>
            <w:pPr>
              <w:spacing w:after="0"/>
            </w:pPr>
            <w:r/>
            <w:r>
              <w:rPr>
                <w:rFonts w:ascii="Aptos" w:hAnsi="Aptos"/>
                <w:b w:val="0"/>
                <w:color w:val="1F2937"/>
                <w:sz w:val="17"/>
              </w:rPr>
              <w:t>country</w:t>
            </w:r>
          </w:p>
        </w:tc>
        <w:tc>
          <w:tcPr>
            <w:tcW w:type="dxa" w:w="4032"/>
            <w:shd w:fill="F4F7FA"/>
            <w:vAlign w:val="center"/>
          </w:tcPr>
          <w:p>
            <w:pPr>
              <w:spacing w:after="0"/>
            </w:pPr>
            <w:r/>
            <w:r>
              <w:rPr>
                <w:rFonts w:ascii="Aptos" w:hAnsi="Aptos"/>
                <w:b w:val="0"/>
                <w:color w:val="1F2937"/>
                <w:sz w:val="17"/>
              </w:rPr>
              <w:t>Explicit ISO alpha-2 country; V3 supports multiple HP markets</w:t>
            </w:r>
          </w:p>
        </w:tc>
      </w:tr>
    </w:tbl>
    <w:p>
      <w:pPr>
        <w:spacing w:after="40"/>
      </w:pPr>
    </w:p>
    <w:p>
      <w:pPr>
        <w:pStyle w:val="Heading2"/>
      </w:pPr>
      <w:r>
        <w:t>2.4 Upgrade Gaps to Close</w:t>
      </w:r>
    </w:p>
    <w:p>
      <w:pPr>
        <w:pStyle w:val="ListNumber"/>
        <w:spacing w:after="60"/>
      </w:pPr>
      <w:r>
        <w:t>Port the lowest-overage pricing logic from computeAllocatedRevenue() into OrderServiceV3Impl, keyed by PAGE_SET and parentOrderId and backed by SubscriptionDaoV3Repository.</w:t>
      </w:r>
    </w:p>
    <w:p>
      <w:pPr>
        <w:pStyle w:val="ListNumber"/>
        <w:spacing w:after="60"/>
      </w:pPr>
      <w:r>
        <w:t>Port post-Gekko old-subscription handling from processAcceptedUpgradeOrder(): identify old renewed subscriptions, undo BMS overages, undo SCC pending changes, and set the old subscription to DEACTIVATING.</w:t>
      </w:r>
    </w:p>
    <w:p>
      <w:pPr>
        <w:pStyle w:val="ListNumber"/>
        <w:spacing w:after="60"/>
      </w:pPr>
      <w:r>
        <w:t>Port the month-2 SCC correction logic for cases where the new overage is greater than the old overage.</w:t>
      </w:r>
    </w:p>
    <w:p>
      <w:pPr>
        <w:pStyle w:val="ListNumber"/>
        <w:spacing w:after="60"/>
      </w:pPr>
      <w:r>
        <w:t>Choose one authoritative parentOrderId location and align validators and downstream logic around it.</w:t>
      </w:r>
    </w:p>
    <w:p>
      <w:pPr>
        <w:pStyle w:val="ListNumber"/>
        <w:spacing w:after="60"/>
      </w:pPr>
      <w:r>
        <w:t>Make upgrade validation matrix-driven by businessContext and country rather than hardcoded to one market/program.</w:t>
      </w:r>
    </w:p>
    <w:p>
      <w:pPr>
        <w:pStyle w:val="Heading1"/>
      </w:pPr>
      <w:r>
        <w:t>3. PLAN CHANGE — V1 + V2 vs V3</w:t>
      </w:r>
    </w:p>
    <w:p>
      <w:r>
        <w:rPr>
          <w:b/>
        </w:rPr>
        <w:t xml:space="preserve">Important finding: </w:t>
      </w:r>
      <w:r>
        <w:t>Plan change is not a single historical flow. V1 and V2 implement materially different variants, and V3 must combine both.</w:t>
      </w:r>
    </w:p>
    <w:p>
      <w:pPr>
        <w:pStyle w:val="Heading2"/>
      </w:pPr>
      <w:r>
        <w:t>3.1 V1 — Full Pricing Plan Change</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7"/>
              </w:rPr>
              <w:t>Capability</w:t>
            </w:r>
          </w:p>
        </w:tc>
        <w:tc>
          <w:tcPr>
            <w:tcW w:type="dxa" w:w="7776"/>
            <w:shd w:fill="17365D"/>
            <w:vAlign w:val="center"/>
          </w:tcPr>
          <w:p>
            <w:pPr>
              <w:spacing w:after="0"/>
            </w:pPr>
            <w:r/>
            <w:r>
              <w:rPr>
                <w:rFonts w:ascii="Aptos" w:hAnsi="Aptos"/>
                <w:b/>
                <w:color w:val="FFFFFF"/>
                <w:sz w:val="17"/>
              </w:rPr>
              <w:t>V1 Implementation</w:t>
            </w:r>
          </w:p>
        </w:tc>
      </w:tr>
      <w:tr>
        <w:tc>
          <w:tcPr>
            <w:tcW w:type="dxa" w:w="2880"/>
            <w:vAlign w:val="center"/>
          </w:tcPr>
          <w:p>
            <w:pPr>
              <w:spacing w:after="0"/>
            </w:pPr>
            <w:r/>
            <w:r>
              <w:rPr>
                <w:rFonts w:ascii="Aptos" w:hAnsi="Aptos"/>
                <w:b w:val="0"/>
                <w:color w:val="1F2937"/>
                <w:sz w:val="17"/>
              </w:rPr>
              <w:t>Trigger</w:t>
            </w:r>
          </w:p>
        </w:tc>
        <w:tc>
          <w:tcPr>
            <w:tcW w:type="dxa" w:w="7776"/>
            <w:vAlign w:val="center"/>
          </w:tcPr>
          <w:p>
            <w:pPr>
              <w:spacing w:after="0"/>
            </w:pPr>
            <w:r/>
            <w:r>
              <w:rPr>
                <w:rFonts w:ascii="Aptos" w:hAnsi="Aptos"/>
                <w:b w:val="0"/>
                <w:color w:val="1F2937"/>
                <w:sz w:val="17"/>
              </w:rPr>
              <w:t>PUT /subscriptions/{id}/update?idType=SUBSCRIPTIONID</w:t>
            </w:r>
          </w:p>
        </w:tc>
      </w:tr>
      <w:tr>
        <w:tc>
          <w:tcPr>
            <w:tcW w:type="dxa" w:w="2880"/>
            <w:shd w:fill="F4F7FA"/>
            <w:vAlign w:val="center"/>
          </w:tcPr>
          <w:p>
            <w:pPr>
              <w:spacing w:after="0"/>
            </w:pPr>
            <w:r/>
            <w:r>
              <w:rPr>
                <w:rFonts w:ascii="Aptos" w:hAnsi="Aptos"/>
                <w:b w:val="0"/>
                <w:color w:val="1F2937"/>
                <w:sz w:val="17"/>
              </w:rPr>
              <w:t>Customer key</w:t>
            </w:r>
          </w:p>
        </w:tc>
        <w:tc>
          <w:tcPr>
            <w:tcW w:type="dxa" w:w="7776"/>
            <w:shd w:fill="F4F7FA"/>
            <w:vAlign w:val="center"/>
          </w:tcPr>
          <w:p>
            <w:pPr>
              <w:spacing w:after="0"/>
            </w:pPr>
            <w:r/>
            <w:r>
              <w:rPr>
                <w:rFonts w:ascii="Aptos" w:hAnsi="Aptos"/>
                <w:b w:val="0"/>
                <w:color w:val="1F2937"/>
                <w:sz w:val="17"/>
              </w:rPr>
              <w:t>Flat tenantId</w:t>
            </w:r>
          </w:p>
        </w:tc>
      </w:tr>
      <w:tr>
        <w:tc>
          <w:tcPr>
            <w:tcW w:type="dxa" w:w="2880"/>
            <w:vAlign w:val="center"/>
          </w:tcPr>
          <w:p>
            <w:pPr>
              <w:spacing w:after="0"/>
            </w:pPr>
            <w:r/>
            <w:r>
              <w:rPr>
                <w:rFonts w:ascii="Aptos" w:hAnsi="Aptos"/>
                <w:b w:val="0"/>
                <w:color w:val="1F2937"/>
                <w:sz w:val="17"/>
              </w:rPr>
              <w:t>Change scope</w:t>
            </w:r>
          </w:p>
        </w:tc>
        <w:tc>
          <w:tcPr>
            <w:tcW w:type="dxa" w:w="7776"/>
            <w:vAlign w:val="center"/>
          </w:tcPr>
          <w:p>
            <w:pPr>
              <w:spacing w:after="0"/>
            </w:pPr>
            <w:r/>
            <w:r>
              <w:rPr>
                <w:rFonts w:ascii="Aptos" w:hAnsi="Aptos"/>
                <w:b w:val="0"/>
                <w:color w:val="1F2937"/>
                <w:sz w:val="17"/>
              </w:rPr>
              <w:t>Full pricing change: productId, price, fmv, allocatedRevenue</w:t>
            </w:r>
          </w:p>
        </w:tc>
      </w:tr>
      <w:tr>
        <w:tc>
          <w:tcPr>
            <w:tcW w:type="dxa" w:w="2880"/>
            <w:shd w:fill="F4F7FA"/>
            <w:vAlign w:val="center"/>
          </w:tcPr>
          <w:p>
            <w:pPr>
              <w:spacing w:after="0"/>
            </w:pPr>
            <w:r/>
            <w:r>
              <w:rPr>
                <w:rFonts w:ascii="Aptos" w:hAnsi="Aptos"/>
                <w:b w:val="0"/>
                <w:color w:val="1F2937"/>
                <w:sz w:val="17"/>
              </w:rPr>
              <w:t>Policy modes</w:t>
            </w:r>
          </w:p>
        </w:tc>
        <w:tc>
          <w:tcPr>
            <w:tcW w:type="dxa" w:w="7776"/>
            <w:shd w:fill="F4F7FA"/>
            <w:vAlign w:val="center"/>
          </w:tcPr>
          <w:p>
            <w:pPr>
              <w:spacing w:after="0"/>
            </w:pPr>
            <w:r/>
            <w:r>
              <w:rPr>
                <w:rFonts w:ascii="Aptos" w:hAnsi="Aptos"/>
                <w:b w:val="0"/>
                <w:color w:val="1F2937"/>
                <w:sz w:val="17"/>
              </w:rPr>
              <w:t>IMM (immediate) / SOT (start-of-term using BMS billing cycle date)</w:t>
            </w:r>
          </w:p>
        </w:tc>
      </w:tr>
      <w:tr>
        <w:tc>
          <w:tcPr>
            <w:tcW w:type="dxa" w:w="2880"/>
            <w:vAlign w:val="center"/>
          </w:tcPr>
          <w:p>
            <w:pPr>
              <w:spacing w:after="0"/>
            </w:pPr>
            <w:r/>
            <w:r>
              <w:rPr>
                <w:rFonts w:ascii="Aptos" w:hAnsi="Aptos"/>
                <w:b w:val="0"/>
                <w:color w:val="1F2937"/>
                <w:sz w:val="17"/>
              </w:rPr>
              <w:t>Concurrency</w:t>
            </w:r>
          </w:p>
        </w:tc>
        <w:tc>
          <w:tcPr>
            <w:tcW w:type="dxa" w:w="7776"/>
            <w:vAlign w:val="center"/>
          </w:tcPr>
          <w:p>
            <w:pPr>
              <w:spacing w:after="0"/>
            </w:pPr>
            <w:r/>
            <w:r>
              <w:rPr>
                <w:rFonts w:ascii="Aptos" w:hAnsi="Aptos"/>
                <w:b w:val="0"/>
                <w:color w:val="1F2937"/>
                <w:sz w:val="17"/>
              </w:rPr>
              <w:t>ChangeRequestDao queue: PENDING → PROCESSING → CONFIRMED / OVERRIDDEN / VALIDATION_ERROR</w:t>
            </w:r>
          </w:p>
        </w:tc>
      </w:tr>
      <w:tr>
        <w:tc>
          <w:tcPr>
            <w:tcW w:type="dxa" w:w="2880"/>
            <w:shd w:fill="F4F7FA"/>
            <w:vAlign w:val="center"/>
          </w:tcPr>
          <w:p>
            <w:pPr>
              <w:spacing w:after="0"/>
            </w:pPr>
            <w:r/>
            <w:r>
              <w:rPr>
                <w:rFonts w:ascii="Aptos" w:hAnsi="Aptos"/>
                <w:b w:val="0"/>
                <w:color w:val="1F2937"/>
                <w:sz w:val="17"/>
              </w:rPr>
              <w:t>Duplicate detection</w:t>
            </w:r>
          </w:p>
        </w:tc>
        <w:tc>
          <w:tcPr>
            <w:tcW w:type="dxa" w:w="7776"/>
            <w:shd w:fill="F4F7FA"/>
            <w:vAlign w:val="center"/>
          </w:tcPr>
          <w:p>
            <w:pPr>
              <w:spacing w:after="0"/>
            </w:pPr>
            <w:r/>
            <w:r>
              <w:rPr>
                <w:rFonts w:ascii="Aptos" w:hAnsi="Aptos"/>
                <w:b w:val="0"/>
                <w:color w:val="1F2937"/>
                <w:sz w:val="17"/>
              </w:rPr>
              <w:t>Same subscriptionContractId + groupId + subscriptionType with PENDING/PROCESSING → 409 Conflict</w:t>
            </w:r>
          </w:p>
        </w:tc>
      </w:tr>
      <w:tr>
        <w:tc>
          <w:tcPr>
            <w:tcW w:type="dxa" w:w="2880"/>
            <w:vAlign w:val="center"/>
          </w:tcPr>
          <w:p>
            <w:pPr>
              <w:spacing w:after="0"/>
            </w:pPr>
            <w:r/>
            <w:r>
              <w:rPr>
                <w:rFonts w:ascii="Aptos" w:hAnsi="Aptos"/>
                <w:b w:val="0"/>
                <w:color w:val="1F2937"/>
                <w:sz w:val="17"/>
              </w:rPr>
              <w:t>Multi-item rule</w:t>
            </w:r>
          </w:p>
        </w:tc>
        <w:tc>
          <w:tcPr>
            <w:tcW w:type="dxa" w:w="7776"/>
            <w:vAlign w:val="center"/>
          </w:tcPr>
          <w:p>
            <w:pPr>
              <w:spacing w:after="0"/>
            </w:pPr>
            <w:r/>
            <w:r>
              <w:rPr>
                <w:rFonts w:ascii="Aptos" w:hAnsi="Aptos"/>
                <w:b w:val="0"/>
                <w:color w:val="1F2937"/>
                <w:sz w:val="17"/>
              </w:rPr>
              <w:t>Multiple items allowed only when target subscription is BASE</w:t>
            </w:r>
          </w:p>
        </w:tc>
      </w:tr>
      <w:tr>
        <w:tc>
          <w:tcPr>
            <w:tcW w:type="dxa" w:w="2880"/>
            <w:shd w:fill="F4F7FA"/>
            <w:vAlign w:val="center"/>
          </w:tcPr>
          <w:p>
            <w:pPr>
              <w:spacing w:after="0"/>
            </w:pPr>
            <w:r/>
            <w:r>
              <w:rPr>
                <w:rFonts w:ascii="Aptos" w:hAnsi="Aptos"/>
                <w:b w:val="0"/>
                <w:color w:val="1F2937"/>
                <w:sz w:val="17"/>
              </w:rPr>
              <w:t>Validation</w:t>
            </w:r>
          </w:p>
        </w:tc>
        <w:tc>
          <w:tcPr>
            <w:tcW w:type="dxa" w:w="7776"/>
            <w:shd w:fill="F4F7FA"/>
            <w:vAlign w:val="center"/>
          </w:tcPr>
          <w:p>
            <w:pPr>
              <w:spacing w:after="0"/>
            </w:pPr>
            <w:r/>
            <w:r>
              <w:rPr>
                <w:rFonts w:ascii="Aptos" w:hAnsi="Aptos"/>
                <w:b w:val="0"/>
                <w:color w:val="1F2937"/>
                <w:sz w:val="17"/>
              </w:rPr>
              <w:t>Subscription not DISABLED; product exists in PIM; SKU characteristic match; same order</w:t>
            </w:r>
          </w:p>
        </w:tc>
      </w:tr>
      <w:tr>
        <w:tc>
          <w:tcPr>
            <w:tcW w:type="dxa" w:w="2880"/>
            <w:vAlign w:val="center"/>
          </w:tcPr>
          <w:p>
            <w:pPr>
              <w:spacing w:after="0"/>
            </w:pPr>
            <w:r/>
            <w:r>
              <w:rPr>
                <w:rFonts w:ascii="Aptos" w:hAnsi="Aptos"/>
                <w:b w:val="0"/>
                <w:color w:val="1F2937"/>
                <w:sz w:val="17"/>
              </w:rPr>
              <w:t>Downstream</w:t>
            </w:r>
          </w:p>
        </w:tc>
        <w:tc>
          <w:tcPr>
            <w:tcW w:type="dxa" w:w="7776"/>
            <w:vAlign w:val="center"/>
          </w:tcPr>
          <w:p>
            <w:pPr>
              <w:spacing w:after="0"/>
            </w:pPr>
            <w:r/>
            <w:r>
              <w:rPr>
                <w:rFonts w:ascii="Aptos" w:hAnsi="Aptos"/>
                <w:b w:val="0"/>
                <w:color w:val="1F2937"/>
                <w:sz w:val="17"/>
              </w:rPr>
              <w:t>Direct Gekko subscriptionChangePlan(); on 202 save audit, trigger Error Handler, publish event, undo BMS overages</w:t>
            </w:r>
          </w:p>
        </w:tc>
      </w:tr>
      <w:tr>
        <w:tc>
          <w:tcPr>
            <w:tcW w:type="dxa" w:w="2880"/>
            <w:shd w:fill="F4F7FA"/>
            <w:vAlign w:val="center"/>
          </w:tcPr>
          <w:p>
            <w:pPr>
              <w:spacing w:after="0"/>
            </w:pPr>
            <w:r/>
            <w:r>
              <w:rPr>
                <w:rFonts w:ascii="Aptos" w:hAnsi="Aptos"/>
                <w:b w:val="0"/>
                <w:color w:val="1F2937"/>
                <w:sz w:val="17"/>
              </w:rPr>
              <w:t>Confirmation</w:t>
            </w:r>
          </w:p>
        </w:tc>
        <w:tc>
          <w:tcPr>
            <w:tcW w:type="dxa" w:w="7776"/>
            <w:shd w:fill="F4F7FA"/>
            <w:vAlign w:val="center"/>
          </w:tcPr>
          <w:p>
            <w:pPr>
              <w:spacing w:after="0"/>
            </w:pPr>
            <w:r/>
            <w:r>
              <w:rPr>
                <w:rFonts w:ascii="Aptos" w:hAnsi="Aptos"/>
                <w:b w:val="0"/>
                <w:color w:val="1F2937"/>
                <w:sz w:val="17"/>
              </w:rPr>
              <w:t>Gekko SUBSCRIPTION_PLAN_CHANGE event confirms request and processes queued requests oldest-first</w:t>
            </w:r>
          </w:p>
        </w:tc>
      </w:tr>
      <w:tr>
        <w:tc>
          <w:tcPr>
            <w:tcW w:type="dxa" w:w="2880"/>
            <w:vAlign w:val="center"/>
          </w:tcPr>
          <w:p>
            <w:pPr>
              <w:spacing w:after="0"/>
            </w:pPr>
            <w:r/>
            <w:r>
              <w:rPr>
                <w:rFonts w:ascii="Aptos" w:hAnsi="Aptos"/>
                <w:b w:val="0"/>
                <w:color w:val="1F2937"/>
                <w:sz w:val="17"/>
              </w:rPr>
              <w:t>De-duplication</w:t>
            </w:r>
          </w:p>
        </w:tc>
        <w:tc>
          <w:tcPr>
            <w:tcW w:type="dxa" w:w="7776"/>
            <w:vAlign w:val="center"/>
          </w:tcPr>
          <w:p>
            <w:pPr>
              <w:spacing w:after="0"/>
            </w:pPr>
            <w:r/>
            <w:r>
              <w:rPr>
                <w:rFonts w:ascii="Aptos" w:hAnsi="Aptos"/>
                <w:b w:val="0"/>
                <w:color w:val="1F2937"/>
                <w:sz w:val="17"/>
              </w:rPr>
              <w:t>Identical price/fmv/allocatedRevenue/productId is treated as duplicate and skipped</w:t>
            </w:r>
          </w:p>
        </w:tc>
      </w:tr>
    </w:tbl>
    <w:p>
      <w:pPr>
        <w:spacing w:after="40"/>
      </w:pPr>
    </w:p>
    <w:p>
      <w:pPr>
        <w:pStyle w:val="Heading2"/>
      </w:pPr>
      <w:r>
        <w:t>3.2 V2 — Quantity-Only Plan Change</w:t>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pPr>
              <w:spacing w:after="0"/>
            </w:pPr>
            <w:r/>
            <w:r>
              <w:rPr>
                <w:rFonts w:ascii="Aptos" w:hAnsi="Aptos"/>
                <w:b/>
                <w:color w:val="FFFFFF"/>
                <w:sz w:val="17"/>
              </w:rPr>
              <w:t>Capability</w:t>
            </w:r>
          </w:p>
        </w:tc>
        <w:tc>
          <w:tcPr>
            <w:tcW w:type="dxa" w:w="7776"/>
            <w:shd w:fill="17365D"/>
            <w:vAlign w:val="center"/>
          </w:tcPr>
          <w:p>
            <w:pPr>
              <w:spacing w:after="0"/>
            </w:pPr>
            <w:r/>
            <w:r>
              <w:rPr>
                <w:rFonts w:ascii="Aptos" w:hAnsi="Aptos"/>
                <w:b/>
                <w:color w:val="FFFFFF"/>
                <w:sz w:val="17"/>
              </w:rPr>
              <w:t>V2 Implementation</w:t>
            </w:r>
          </w:p>
        </w:tc>
      </w:tr>
      <w:tr>
        <w:tc>
          <w:tcPr>
            <w:tcW w:type="dxa" w:w="2880"/>
            <w:vAlign w:val="center"/>
          </w:tcPr>
          <w:p>
            <w:pPr>
              <w:spacing w:after="0"/>
            </w:pPr>
            <w:r/>
            <w:r>
              <w:rPr>
                <w:rFonts w:ascii="Aptos" w:hAnsi="Aptos"/>
                <w:b w:val="0"/>
                <w:color w:val="1F2937"/>
                <w:sz w:val="17"/>
              </w:rPr>
              <w:t>Trigger</w:t>
            </w:r>
          </w:p>
        </w:tc>
        <w:tc>
          <w:tcPr>
            <w:tcW w:type="dxa" w:w="7776"/>
            <w:vAlign w:val="center"/>
          </w:tcPr>
          <w:p>
            <w:pPr>
              <w:spacing w:after="0"/>
            </w:pPr>
            <w:r/>
            <w:r>
              <w:rPr>
                <w:rFonts w:ascii="Aptos" w:hAnsi="Aptos"/>
                <w:b w:val="0"/>
                <w:color w:val="1F2937"/>
                <w:sz w:val="17"/>
              </w:rPr>
              <w:t>PUT /v2/subscriptions/{id}/update?idType=SUBSCRIPTIONID</w:t>
            </w:r>
          </w:p>
        </w:tc>
      </w:tr>
      <w:tr>
        <w:tc>
          <w:tcPr>
            <w:tcW w:type="dxa" w:w="2880"/>
            <w:shd w:fill="F4F7FA"/>
            <w:vAlign w:val="center"/>
          </w:tcPr>
          <w:p>
            <w:pPr>
              <w:spacing w:after="0"/>
            </w:pPr>
            <w:r/>
            <w:r>
              <w:rPr>
                <w:rFonts w:ascii="Aptos" w:hAnsi="Aptos"/>
                <w:b w:val="0"/>
                <w:color w:val="1F2937"/>
                <w:sz w:val="17"/>
              </w:rPr>
              <w:t>Customer key</w:t>
            </w:r>
          </w:p>
        </w:tc>
        <w:tc>
          <w:tcPr>
            <w:tcW w:type="dxa" w:w="7776"/>
            <w:shd w:fill="F4F7FA"/>
            <w:vAlign w:val="center"/>
          </w:tcPr>
          <w:p>
            <w:pPr>
              <w:spacing w:after="0"/>
            </w:pPr>
            <w:r/>
            <w:r>
              <w:rPr>
                <w:rFonts w:ascii="Aptos" w:hAnsi="Aptos"/>
                <w:b w:val="0"/>
                <w:color w:val="1F2937"/>
                <w:sz w:val="17"/>
              </w:rPr>
              <w:t>primaryCustomerId + primaryCustomerIdType (orgId / userId / tenantId)</w:t>
            </w:r>
          </w:p>
        </w:tc>
      </w:tr>
      <w:tr>
        <w:tc>
          <w:tcPr>
            <w:tcW w:type="dxa" w:w="2880"/>
            <w:vAlign w:val="center"/>
          </w:tcPr>
          <w:p>
            <w:pPr>
              <w:spacing w:after="0"/>
            </w:pPr>
            <w:r/>
            <w:r>
              <w:rPr>
                <w:rFonts w:ascii="Aptos" w:hAnsi="Aptos"/>
                <w:b w:val="0"/>
                <w:color w:val="1F2937"/>
                <w:sz w:val="17"/>
              </w:rPr>
              <w:t>Change scope</w:t>
            </w:r>
          </w:p>
        </w:tc>
        <w:tc>
          <w:tcPr>
            <w:tcW w:type="dxa" w:w="7776"/>
            <w:vAlign w:val="center"/>
          </w:tcPr>
          <w:p>
            <w:pPr>
              <w:spacing w:after="0"/>
            </w:pPr>
            <w:r/>
            <w:r>
              <w:rPr>
                <w:rFonts w:ascii="Aptos" w:hAnsi="Aptos"/>
                <w:b w:val="0"/>
                <w:color w:val="1F2937"/>
                <w:sz w:val="17"/>
              </w:rPr>
              <w:t>sku + quantity only; pricing block rejected for Monetization subscriptions</w:t>
            </w:r>
          </w:p>
        </w:tc>
      </w:tr>
      <w:tr>
        <w:tc>
          <w:tcPr>
            <w:tcW w:type="dxa" w:w="2880"/>
            <w:shd w:fill="F4F7FA"/>
            <w:vAlign w:val="center"/>
          </w:tcPr>
          <w:p>
            <w:pPr>
              <w:spacing w:after="0"/>
            </w:pPr>
            <w:r/>
            <w:r>
              <w:rPr>
                <w:rFonts w:ascii="Aptos" w:hAnsi="Aptos"/>
                <w:b w:val="0"/>
                <w:color w:val="1F2937"/>
                <w:sz w:val="17"/>
              </w:rPr>
              <w:t>Policy modes</w:t>
            </w:r>
          </w:p>
        </w:tc>
        <w:tc>
          <w:tcPr>
            <w:tcW w:type="dxa" w:w="7776"/>
            <w:shd w:fill="F4F7FA"/>
            <w:vAlign w:val="center"/>
          </w:tcPr>
          <w:p>
            <w:pPr>
              <w:spacing w:after="0"/>
            </w:pPr>
            <w:r/>
            <w:r>
              <w:rPr>
                <w:rFonts w:ascii="Aptos" w:hAnsi="Aptos"/>
                <w:b w:val="0"/>
                <w:color w:val="1F2937"/>
                <w:sz w:val="17"/>
              </w:rPr>
              <w:t>EOT / IMM / SOT routed through delayedRequestForChangeQuantity()</w:t>
            </w:r>
          </w:p>
        </w:tc>
      </w:tr>
      <w:tr>
        <w:tc>
          <w:tcPr>
            <w:tcW w:type="dxa" w:w="2880"/>
            <w:vAlign w:val="center"/>
          </w:tcPr>
          <w:p>
            <w:pPr>
              <w:spacing w:after="0"/>
            </w:pPr>
            <w:r/>
            <w:r>
              <w:rPr>
                <w:rFonts w:ascii="Aptos" w:hAnsi="Aptos"/>
                <w:b w:val="0"/>
                <w:color w:val="1F2937"/>
                <w:sz w:val="17"/>
              </w:rPr>
              <w:t>Concurrency</w:t>
            </w:r>
          </w:p>
        </w:tc>
        <w:tc>
          <w:tcPr>
            <w:tcW w:type="dxa" w:w="7776"/>
            <w:vAlign w:val="center"/>
          </w:tcPr>
          <w:p>
            <w:pPr>
              <w:spacing w:after="0"/>
            </w:pPr>
            <w:r/>
            <w:r>
              <w:rPr>
                <w:rFonts w:ascii="Aptos" w:hAnsi="Aptos"/>
                <w:b w:val="0"/>
                <w:color w:val="1F2937"/>
                <w:sz w:val="17"/>
              </w:rPr>
              <w:t>ChangeRequestDao using flexible primary-customer lookup</w:t>
            </w:r>
          </w:p>
        </w:tc>
      </w:tr>
      <w:tr>
        <w:tc>
          <w:tcPr>
            <w:tcW w:type="dxa" w:w="2880"/>
            <w:shd w:fill="F4F7FA"/>
            <w:vAlign w:val="center"/>
          </w:tcPr>
          <w:p>
            <w:pPr>
              <w:spacing w:after="0"/>
            </w:pPr>
            <w:r/>
            <w:r>
              <w:rPr>
                <w:rFonts w:ascii="Aptos" w:hAnsi="Aptos"/>
                <w:b w:val="0"/>
                <w:color w:val="1F2937"/>
                <w:sz w:val="17"/>
              </w:rPr>
              <w:t>Schedule conflicts</w:t>
            </w:r>
          </w:p>
        </w:tc>
        <w:tc>
          <w:tcPr>
            <w:tcW w:type="dxa" w:w="7776"/>
            <w:shd w:fill="F4F7FA"/>
            <w:vAlign w:val="center"/>
          </w:tcPr>
          <w:p>
            <w:pPr>
              <w:spacing w:after="0"/>
            </w:pPr>
            <w:r/>
            <w:r>
              <w:rPr>
                <w:rFonts w:ascii="Aptos" w:hAnsi="Aptos"/>
                <w:b w:val="0"/>
                <w:color w:val="1F2937"/>
                <w:sz w:val="17"/>
              </w:rPr>
              <w:t>Blocks when CHANGE_PLAN or CANCELLATION is already PENDING/PROCESSING</w:t>
            </w:r>
          </w:p>
        </w:tc>
      </w:tr>
      <w:tr>
        <w:tc>
          <w:tcPr>
            <w:tcW w:type="dxa" w:w="2880"/>
            <w:vAlign w:val="center"/>
          </w:tcPr>
          <w:p>
            <w:pPr>
              <w:spacing w:after="0"/>
            </w:pPr>
            <w:r/>
            <w:r>
              <w:rPr>
                <w:rFonts w:ascii="Aptos" w:hAnsi="Aptos"/>
                <w:b w:val="0"/>
                <w:color w:val="1F2937"/>
                <w:sz w:val="17"/>
              </w:rPr>
              <w:t>Downstream</w:t>
            </w:r>
          </w:p>
        </w:tc>
        <w:tc>
          <w:tcPr>
            <w:tcW w:type="dxa" w:w="7776"/>
            <w:vAlign w:val="center"/>
          </w:tcPr>
          <w:p>
            <w:pPr>
              <w:spacing w:after="0"/>
            </w:pPr>
            <w:r/>
            <w:r>
              <w:rPr>
                <w:rFonts w:ascii="Aptos" w:hAnsi="Aptos"/>
                <w:b w:val="0"/>
                <w:color w:val="1F2937"/>
                <w:sz w:val="17"/>
              </w:rPr>
              <w:t>EOT path calls SCC updateSubscription() with next BMS billing-cycle start</w:t>
            </w:r>
          </w:p>
        </w:tc>
      </w:tr>
      <w:tr>
        <w:tc>
          <w:tcPr>
            <w:tcW w:type="dxa" w:w="2880"/>
            <w:shd w:fill="F4F7FA"/>
            <w:vAlign w:val="center"/>
          </w:tcPr>
          <w:p>
            <w:pPr>
              <w:spacing w:after="0"/>
            </w:pPr>
            <w:r/>
            <w:r>
              <w:rPr>
                <w:rFonts w:ascii="Aptos" w:hAnsi="Aptos"/>
                <w:b w:val="0"/>
                <w:color w:val="1F2937"/>
                <w:sz w:val="17"/>
              </w:rPr>
              <w:t>Confirmation</w:t>
            </w:r>
          </w:p>
        </w:tc>
        <w:tc>
          <w:tcPr>
            <w:tcW w:type="dxa" w:w="7776"/>
            <w:shd w:fill="F4F7FA"/>
            <w:vAlign w:val="center"/>
          </w:tcPr>
          <w:p>
            <w:pPr>
              <w:spacing w:after="0"/>
            </w:pPr>
            <w:r/>
            <w:r>
              <w:rPr>
                <w:rFonts w:ascii="Aptos" w:hAnsi="Aptos"/>
                <w:b w:val="0"/>
                <w:color w:val="1F2937"/>
                <w:sz w:val="17"/>
              </w:rPr>
              <w:t>POST /webhooks/scc/monetization-change-quantity updates SubscriptionDao.quantity and audit</w:t>
            </w:r>
          </w:p>
        </w:tc>
      </w:tr>
      <w:tr>
        <w:tc>
          <w:tcPr>
            <w:tcW w:type="dxa" w:w="2880"/>
            <w:vAlign w:val="center"/>
          </w:tcPr>
          <w:p>
            <w:pPr>
              <w:spacing w:after="0"/>
            </w:pPr>
            <w:r/>
            <w:r>
              <w:rPr>
                <w:rFonts w:ascii="Aptos" w:hAnsi="Aptos"/>
                <w:b w:val="0"/>
                <w:color w:val="1F2937"/>
                <w:sz w:val="17"/>
              </w:rPr>
              <w:t>Gekko idType</w:t>
            </w:r>
          </w:p>
        </w:tc>
        <w:tc>
          <w:tcPr>
            <w:tcW w:type="dxa" w:w="7776"/>
            <w:vAlign w:val="center"/>
          </w:tcPr>
          <w:p>
            <w:pPr>
              <w:spacing w:after="0"/>
            </w:pPr>
            <w:r/>
            <w:r>
              <w:rPr>
                <w:rFonts w:ascii="Aptos" w:hAnsi="Aptos"/>
                <w:b w:val="0"/>
                <w:color w:val="1F2937"/>
                <w:sz w:val="17"/>
              </w:rPr>
              <w:t>Maps internal SUBSCRIPTIONID to GEKKO before downstream invocation</w:t>
            </w:r>
          </w:p>
        </w:tc>
      </w:tr>
    </w:tbl>
    <w:p>
      <w:pPr>
        <w:spacing w:after="40"/>
      </w:pPr>
    </w:p>
    <w:p>
      <w:pPr>
        <w:pStyle w:val="Heading2"/>
      </w:pPr>
      <w:r>
        <w:t>3.3 V3 Current Status</w:t>
      </w:r>
    </w:p>
    <w:tbl>
      <w:tblPr>
        <w:tblStyle w:val="TableGrid"/>
        <w:tblW w:type="auto" w:w="0"/>
        <w:jc w:val="center"/>
        <w:tblLook w:firstColumn="1" w:firstRow="1" w:lastColumn="0" w:lastRow="0" w:noHBand="0" w:noVBand="1" w:val="04A0"/>
      </w:tblPr>
      <w:tblGrid>
        <w:gridCol w:w="4968"/>
        <w:gridCol w:w="4968"/>
      </w:tblGrid>
      <w:tr>
        <w:tc>
          <w:tcPr>
            <w:tcW w:type="dxa" w:w="3600"/>
            <w:shd w:fill="17365D"/>
            <w:vAlign w:val="center"/>
          </w:tcPr>
          <w:p>
            <w:pPr>
              <w:spacing w:after="0"/>
            </w:pPr>
            <w:r/>
            <w:r>
              <w:rPr>
                <w:rFonts w:ascii="Aptos" w:hAnsi="Aptos"/>
                <w:b/>
                <w:color w:val="FFFFFF"/>
                <w:sz w:val="17"/>
              </w:rPr>
              <w:t>Capability</w:t>
            </w:r>
          </w:p>
        </w:tc>
        <w:tc>
          <w:tcPr>
            <w:tcW w:type="dxa" w:w="7056"/>
            <w:shd w:fill="17365D"/>
            <w:vAlign w:val="center"/>
          </w:tcPr>
          <w:p>
            <w:pPr>
              <w:spacing w:after="0"/>
            </w:pPr>
            <w:r/>
            <w:r>
              <w:rPr>
                <w:rFonts w:ascii="Aptos" w:hAnsi="Aptos"/>
                <w:b/>
                <w:color w:val="FFFFFF"/>
                <w:sz w:val="17"/>
              </w:rPr>
              <w:t>V3 Status</w:t>
            </w:r>
          </w:p>
        </w:tc>
      </w:tr>
      <w:tr>
        <w:tc>
          <w:tcPr>
            <w:tcW w:type="dxa" w:w="3600"/>
            <w:vAlign w:val="center"/>
          </w:tcPr>
          <w:p>
            <w:pPr>
              <w:spacing w:after="0"/>
            </w:pPr>
            <w:r/>
            <w:r>
              <w:rPr>
                <w:rFonts w:ascii="Aptos" w:hAnsi="Aptos"/>
                <w:b w:val="0"/>
                <w:color w:val="1F2937"/>
                <w:sz w:val="17"/>
              </w:rPr>
              <w:t>Endpoint</w:t>
            </w:r>
          </w:p>
        </w:tc>
        <w:tc>
          <w:tcPr>
            <w:tcW w:type="dxa" w:w="7056"/>
            <w:vAlign w:val="center"/>
          </w:tcPr>
          <w:p>
            <w:pPr>
              <w:spacing w:after="0"/>
            </w:pPr>
            <w:r/>
            <w:r>
              <w:rPr>
                <w:rFonts w:ascii="Aptos" w:hAnsi="Aptos"/>
                <w:b/>
                <w:color w:val="C00000"/>
                <w:sz w:val="17"/>
              </w:rPr>
              <w:t>❌ Not implemented — no V3 plan-change endpoint exists</w:t>
            </w:r>
          </w:p>
        </w:tc>
      </w:tr>
      <w:tr>
        <w:tc>
          <w:tcPr>
            <w:tcW w:type="dxa" w:w="3600"/>
            <w:shd w:fill="F4F7FA"/>
            <w:vAlign w:val="center"/>
          </w:tcPr>
          <w:p>
            <w:pPr>
              <w:spacing w:after="0"/>
            </w:pPr>
            <w:r/>
            <w:r>
              <w:rPr>
                <w:rFonts w:ascii="Aptos" w:hAnsi="Aptos"/>
                <w:b w:val="0"/>
                <w:color w:val="1F2937"/>
                <w:sz w:val="17"/>
              </w:rPr>
              <w:t>Policy routing</w:t>
            </w:r>
          </w:p>
        </w:tc>
        <w:tc>
          <w:tcPr>
            <w:tcW w:type="dxa" w:w="7056"/>
            <w:shd w:fill="F4F7FA"/>
            <w:vAlign w:val="center"/>
          </w:tcPr>
          <w:p>
            <w:pPr>
              <w:spacing w:after="0"/>
            </w:pPr>
            <w:r/>
            <w:r>
              <w:rPr>
                <w:rFonts w:ascii="Aptos" w:hAnsi="Aptos"/>
                <w:b/>
                <w:color w:val="C00000"/>
                <w:sz w:val="17"/>
              </w:rPr>
              <w:t>❌ Not started</w:t>
            </w:r>
          </w:p>
        </w:tc>
      </w:tr>
      <w:tr>
        <w:tc>
          <w:tcPr>
            <w:tcW w:type="dxa" w:w="3600"/>
            <w:vAlign w:val="center"/>
          </w:tcPr>
          <w:p>
            <w:pPr>
              <w:spacing w:after="0"/>
            </w:pPr>
            <w:r/>
            <w:r>
              <w:rPr>
                <w:rFonts w:ascii="Aptos" w:hAnsi="Aptos"/>
                <w:b w:val="0"/>
                <w:color w:val="1F2937"/>
                <w:sz w:val="17"/>
              </w:rPr>
              <w:t>Queueing/concurrency</w:t>
            </w:r>
          </w:p>
        </w:tc>
        <w:tc>
          <w:tcPr>
            <w:tcW w:type="dxa" w:w="7056"/>
            <w:vAlign w:val="center"/>
          </w:tcPr>
          <w:p>
            <w:pPr>
              <w:spacing w:after="0"/>
            </w:pPr>
            <w:r/>
            <w:r>
              <w:rPr>
                <w:rFonts w:ascii="Aptos" w:hAnsi="Aptos"/>
                <w:b/>
                <w:color w:val="C00000"/>
                <w:sz w:val="17"/>
              </w:rPr>
              <w:t>❌ Not started</w:t>
            </w:r>
          </w:p>
        </w:tc>
      </w:tr>
      <w:tr>
        <w:tc>
          <w:tcPr>
            <w:tcW w:type="dxa" w:w="3600"/>
            <w:shd w:fill="F4F7FA"/>
            <w:vAlign w:val="center"/>
          </w:tcPr>
          <w:p>
            <w:pPr>
              <w:spacing w:after="0"/>
            </w:pPr>
            <w:r/>
            <w:r>
              <w:rPr>
                <w:rFonts w:ascii="Aptos" w:hAnsi="Aptos"/>
                <w:b w:val="0"/>
                <w:color w:val="1F2937"/>
                <w:sz w:val="17"/>
              </w:rPr>
              <w:t>Deduplication</w:t>
            </w:r>
          </w:p>
        </w:tc>
        <w:tc>
          <w:tcPr>
            <w:tcW w:type="dxa" w:w="7056"/>
            <w:shd w:fill="F4F7FA"/>
            <w:vAlign w:val="center"/>
          </w:tcPr>
          <w:p>
            <w:pPr>
              <w:spacing w:after="0"/>
            </w:pPr>
            <w:r/>
            <w:r>
              <w:rPr>
                <w:rFonts w:ascii="Aptos" w:hAnsi="Aptos"/>
                <w:b/>
                <w:color w:val="C00000"/>
                <w:sz w:val="17"/>
              </w:rPr>
              <w:t>❌ Not started</w:t>
            </w:r>
          </w:p>
        </w:tc>
      </w:tr>
      <w:tr>
        <w:tc>
          <w:tcPr>
            <w:tcW w:type="dxa" w:w="3600"/>
            <w:vAlign w:val="center"/>
          </w:tcPr>
          <w:p>
            <w:pPr>
              <w:spacing w:after="0"/>
            </w:pPr>
            <w:r/>
            <w:r>
              <w:rPr>
                <w:rFonts w:ascii="Aptos" w:hAnsi="Aptos"/>
                <w:b w:val="0"/>
                <w:color w:val="1F2937"/>
                <w:sz w:val="17"/>
              </w:rPr>
              <w:t>Gekko/SCC integration</w:t>
            </w:r>
          </w:p>
        </w:tc>
        <w:tc>
          <w:tcPr>
            <w:tcW w:type="dxa" w:w="7056"/>
            <w:vAlign w:val="center"/>
          </w:tcPr>
          <w:p>
            <w:pPr>
              <w:spacing w:after="0"/>
            </w:pPr>
            <w:r/>
            <w:r>
              <w:rPr>
                <w:rFonts w:ascii="Aptos" w:hAnsi="Aptos"/>
                <w:b/>
                <w:color w:val="C00000"/>
                <w:sz w:val="17"/>
              </w:rPr>
              <w:t>❌ Not started</w:t>
            </w:r>
          </w:p>
        </w:tc>
      </w:tr>
      <w:tr>
        <w:tc>
          <w:tcPr>
            <w:tcW w:type="dxa" w:w="3600"/>
            <w:shd w:fill="F4F7FA"/>
            <w:vAlign w:val="center"/>
          </w:tcPr>
          <w:p>
            <w:pPr>
              <w:spacing w:after="0"/>
            </w:pPr>
            <w:r/>
            <w:r>
              <w:rPr>
                <w:rFonts w:ascii="Aptos" w:hAnsi="Aptos"/>
                <w:b w:val="0"/>
                <w:color w:val="1F2937"/>
                <w:sz w:val="17"/>
              </w:rPr>
              <w:t>Event/webhook confirmation</w:t>
            </w:r>
          </w:p>
        </w:tc>
        <w:tc>
          <w:tcPr>
            <w:tcW w:type="dxa" w:w="7056"/>
            <w:shd w:fill="F4F7FA"/>
            <w:vAlign w:val="center"/>
          </w:tcPr>
          <w:p>
            <w:pPr>
              <w:spacing w:after="0"/>
            </w:pPr>
            <w:r/>
            <w:r>
              <w:rPr>
                <w:rFonts w:ascii="Aptos" w:hAnsi="Aptos"/>
                <w:b/>
                <w:color w:val="C00000"/>
                <w:sz w:val="17"/>
              </w:rPr>
              <w:t>❌ Not started</w:t>
            </w:r>
          </w:p>
        </w:tc>
      </w:tr>
    </w:tbl>
    <w:p>
      <w:pPr>
        <w:spacing w:after="40"/>
      </w:pPr>
    </w:p>
    <w:p>
      <w:pPr>
        <w:pStyle w:val="Heading2"/>
      </w:pPr>
      <w:r>
        <w:t>3.4 Projected V3 Field Mapping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shd w:fill="17365D"/>
            <w:vAlign w:val="center"/>
          </w:tcPr>
          <w:p>
            <w:pPr>
              <w:spacing w:after="0"/>
            </w:pPr>
            <w:r/>
            <w:r>
              <w:rPr>
                <w:rFonts w:ascii="Aptos" w:hAnsi="Aptos"/>
                <w:b/>
                <w:color w:val="FFFFFF"/>
                <w:sz w:val="17"/>
              </w:rPr>
              <w:t>V1 Field</w:t>
            </w:r>
          </w:p>
        </w:tc>
        <w:tc>
          <w:tcPr>
            <w:tcW w:type="dxa" w:w="2232"/>
            <w:shd w:fill="17365D"/>
            <w:vAlign w:val="center"/>
          </w:tcPr>
          <w:p>
            <w:pPr>
              <w:spacing w:after="0"/>
            </w:pPr>
            <w:r/>
            <w:r>
              <w:rPr>
                <w:rFonts w:ascii="Aptos" w:hAnsi="Aptos"/>
                <w:b/>
                <w:color w:val="FFFFFF"/>
                <w:sz w:val="17"/>
              </w:rPr>
              <w:t>V2 Field</w:t>
            </w:r>
          </w:p>
        </w:tc>
        <w:tc>
          <w:tcPr>
            <w:tcW w:type="dxa" w:w="3672"/>
            <w:shd w:fill="17365D"/>
            <w:vAlign w:val="center"/>
          </w:tcPr>
          <w:p>
            <w:pPr>
              <w:spacing w:after="0"/>
            </w:pPr>
            <w:r/>
            <w:r>
              <w:rPr>
                <w:rFonts w:ascii="Aptos" w:hAnsi="Aptos"/>
                <w:b/>
                <w:color w:val="FFFFFF"/>
                <w:sz w:val="17"/>
              </w:rPr>
              <w:t>V3 Equivalent / Proposal</w:t>
            </w:r>
          </w:p>
        </w:tc>
        <w:tc>
          <w:tcPr>
            <w:tcW w:type="dxa" w:w="2520"/>
            <w:shd w:fill="17365D"/>
            <w:vAlign w:val="center"/>
          </w:tcPr>
          <w:p>
            <w:pPr>
              <w:spacing w:after="0"/>
            </w:pPr>
            <w:r/>
            <w:r>
              <w:rPr>
                <w:rFonts w:ascii="Aptos" w:hAnsi="Aptos"/>
                <w:b/>
                <w:color w:val="FFFFFF"/>
                <w:sz w:val="17"/>
              </w:rPr>
              <w:t>Design Note</w:t>
            </w:r>
          </w:p>
        </w:tc>
      </w:tr>
      <w:tr>
        <w:tc>
          <w:tcPr>
            <w:tcW w:type="dxa" w:w="2232"/>
            <w:vAlign w:val="center"/>
          </w:tcPr>
          <w:p>
            <w:pPr>
              <w:spacing w:after="0"/>
            </w:pPr>
            <w:r/>
            <w:r>
              <w:rPr>
                <w:rFonts w:ascii="Aptos" w:hAnsi="Aptos"/>
                <w:b w:val="0"/>
                <w:color w:val="1F2937"/>
                <w:sz w:val="17"/>
              </w:rPr>
              <w:t>policy</w:t>
            </w:r>
          </w:p>
        </w:tc>
        <w:tc>
          <w:tcPr>
            <w:tcW w:type="dxa" w:w="2232"/>
            <w:vAlign w:val="center"/>
          </w:tcPr>
          <w:p>
            <w:pPr>
              <w:spacing w:after="0"/>
            </w:pPr>
            <w:r/>
            <w:r>
              <w:rPr>
                <w:rFonts w:ascii="Aptos" w:hAnsi="Aptos"/>
                <w:b w:val="0"/>
                <w:color w:val="1F2937"/>
                <w:sz w:val="17"/>
              </w:rPr>
              <w:t>policy</w:t>
            </w:r>
          </w:p>
        </w:tc>
        <w:tc>
          <w:tcPr>
            <w:tcW w:type="dxa" w:w="3672"/>
            <w:vAlign w:val="center"/>
          </w:tcPr>
          <w:p>
            <w:pPr>
              <w:spacing w:after="0"/>
            </w:pPr>
            <w:r/>
            <w:r>
              <w:rPr>
                <w:rFonts w:ascii="Aptos" w:hAnsi="Aptos"/>
                <w:b w:val="0"/>
                <w:color w:val="1F2937"/>
                <w:sz w:val="17"/>
              </w:rPr>
              <w:t>policy</w:t>
            </w:r>
          </w:p>
        </w:tc>
        <w:tc>
          <w:tcPr>
            <w:tcW w:type="dxa" w:w="2520"/>
            <w:vAlign w:val="center"/>
          </w:tcPr>
          <w:p>
            <w:pPr>
              <w:spacing w:after="0"/>
            </w:pPr>
            <w:r/>
            <w:r>
              <w:rPr>
                <w:rFonts w:ascii="Aptos" w:hAnsi="Aptos"/>
                <w:b w:val="0"/>
                <w:color w:val="1F2937"/>
                <w:sz w:val="17"/>
              </w:rPr>
              <w:t>Keep existing policy field</w:t>
            </w:r>
          </w:p>
        </w:tc>
      </w:tr>
      <w:tr>
        <w:tc>
          <w:tcPr>
            <w:tcW w:type="dxa" w:w="2232"/>
            <w:shd w:fill="F4F7FA"/>
            <w:vAlign w:val="center"/>
          </w:tcPr>
          <w:p>
            <w:pPr>
              <w:spacing w:after="0"/>
            </w:pPr>
            <w:r/>
            <w:r>
              <w:rPr>
                <w:rFonts w:ascii="Aptos" w:hAnsi="Aptos"/>
                <w:b w:val="0"/>
                <w:color w:val="1F2937"/>
                <w:sz w:val="17"/>
              </w:rPr>
              <w:t>tenantId</w:t>
            </w:r>
          </w:p>
        </w:tc>
        <w:tc>
          <w:tcPr>
            <w:tcW w:type="dxa" w:w="2232"/>
            <w:shd w:fill="F4F7FA"/>
            <w:vAlign w:val="center"/>
          </w:tcPr>
          <w:p>
            <w:pPr>
              <w:spacing w:after="0"/>
            </w:pPr>
            <w:r/>
            <w:r>
              <w:rPr>
                <w:rFonts w:ascii="Aptos" w:hAnsi="Aptos"/>
                <w:b w:val="0"/>
                <w:color w:val="1F2937"/>
                <w:sz w:val="17"/>
              </w:rPr>
              <w:t>primaryCustomerId + primaryCustomerIdType</w:t>
            </w:r>
          </w:p>
        </w:tc>
        <w:tc>
          <w:tcPr>
            <w:tcW w:type="dxa" w:w="3672"/>
            <w:shd w:fill="F4F7FA"/>
            <w:vAlign w:val="center"/>
          </w:tcPr>
          <w:p>
            <w:pPr>
              <w:spacing w:after="0"/>
            </w:pPr>
            <w:r/>
            <w:r>
              <w:rPr>
                <w:rFonts w:ascii="Aptos" w:hAnsi="Aptos"/>
                <w:b w:val="0"/>
                <w:color w:val="1F2937"/>
                <w:sz w:val="17"/>
              </w:rPr>
              <w:t>customer.primaryCustomerId + customer.primaryCustomerIdType</w:t>
            </w:r>
          </w:p>
        </w:tc>
        <w:tc>
          <w:tcPr>
            <w:tcW w:type="dxa" w:w="2520"/>
            <w:shd w:fill="F4F7FA"/>
            <w:vAlign w:val="center"/>
          </w:tcPr>
          <w:p>
            <w:pPr>
              <w:spacing w:after="0"/>
            </w:pPr>
            <w:r/>
            <w:r>
              <w:rPr>
                <w:rFonts w:ascii="Aptos" w:hAnsi="Aptos"/>
                <w:b w:val="0"/>
                <w:color w:val="1F2937"/>
                <w:sz w:val="17"/>
              </w:rPr>
              <w:t>Adopt V2 flexible customer model</w:t>
            </w:r>
          </w:p>
        </w:tc>
      </w:tr>
      <w:tr>
        <w:tc>
          <w:tcPr>
            <w:tcW w:type="dxa" w:w="2232"/>
            <w:vAlign w:val="center"/>
          </w:tcPr>
          <w:p>
            <w:pPr>
              <w:spacing w:after="0"/>
            </w:pPr>
            <w:r/>
            <w:r>
              <w:rPr>
                <w:rFonts w:ascii="Aptos" w:hAnsi="Aptos"/>
                <w:b w:val="0"/>
                <w:color w:val="1F2937"/>
                <w:sz w:val="17"/>
              </w:rPr>
              <w:t>items[].productId, price, fmv, allocatedRevenue</w:t>
            </w:r>
          </w:p>
        </w:tc>
        <w:tc>
          <w:tcPr>
            <w:tcW w:type="dxa" w:w="2232"/>
            <w:vAlign w:val="center"/>
          </w:tcPr>
          <w:p>
            <w:pPr>
              <w:spacing w:after="0"/>
            </w:pPr>
            <w:r/>
            <w:r>
              <w:rPr>
                <w:rFonts w:ascii="Aptos" w:hAnsi="Aptos"/>
                <w:b w:val="0"/>
                <w:color w:val="1F2937"/>
                <w:sz w:val="17"/>
              </w:rPr>
              <w:t>items[].sku, quantity</w:t>
            </w:r>
          </w:p>
        </w:tc>
        <w:tc>
          <w:tcPr>
            <w:tcW w:type="dxa" w:w="3672"/>
            <w:vAlign w:val="center"/>
          </w:tcPr>
          <w:p>
            <w:pPr>
              <w:spacing w:after="0"/>
            </w:pPr>
            <w:r/>
            <w:r>
              <w:rPr>
                <w:rFonts w:ascii="Aptos" w:hAnsi="Aptos"/>
                <w:b w:val="0"/>
                <w:color w:val="1F2937"/>
                <w:sz w:val="17"/>
              </w:rPr>
              <w:t>Both pricing adjustments[] and sku/quantity</w:t>
            </w:r>
          </w:p>
        </w:tc>
        <w:tc>
          <w:tcPr>
            <w:tcW w:type="dxa" w:w="2520"/>
            <w:vAlign w:val="center"/>
          </w:tcPr>
          <w:p>
            <w:pPr>
              <w:spacing w:after="0"/>
            </w:pPr>
            <w:r/>
            <w:r>
              <w:rPr>
                <w:rFonts w:ascii="Aptos" w:hAnsi="Aptos"/>
                <w:b w:val="0"/>
                <w:color w:val="1F2937"/>
                <w:sz w:val="17"/>
              </w:rPr>
              <w:t>Unified schema; gated by businessContext</w:t>
            </w:r>
          </w:p>
        </w:tc>
      </w:tr>
      <w:tr>
        <w:tc>
          <w:tcPr>
            <w:tcW w:type="dxa" w:w="2232"/>
            <w:shd w:fill="F4F7FA"/>
            <w:vAlign w:val="center"/>
          </w:tcPr>
          <w:p>
            <w:pPr>
              <w:spacing w:after="0"/>
            </w:pPr>
            <w:r/>
            <w:r>
              <w:rPr>
                <w:rFonts w:ascii="Aptos" w:hAnsi="Aptos"/>
                <w:b w:val="0"/>
                <w:color w:val="1F2937"/>
                <w:sz w:val="17"/>
              </w:rPr>
              <w:t>N/A</w:t>
            </w:r>
          </w:p>
        </w:tc>
        <w:tc>
          <w:tcPr>
            <w:tcW w:type="dxa" w:w="2232"/>
            <w:shd w:fill="F4F7FA"/>
            <w:vAlign w:val="center"/>
          </w:tcPr>
          <w:p>
            <w:pPr>
              <w:spacing w:after="0"/>
            </w:pPr>
            <w:r/>
            <w:r>
              <w:rPr>
                <w:rFonts w:ascii="Aptos" w:hAnsi="Aptos"/>
                <w:b w:val="0"/>
                <w:color w:val="1F2937"/>
                <w:sz w:val="17"/>
              </w:rPr>
              <w:t>Monetization blocks pricing</w:t>
            </w:r>
          </w:p>
        </w:tc>
        <w:tc>
          <w:tcPr>
            <w:tcW w:type="dxa" w:w="3672"/>
            <w:shd w:fill="F4F7FA"/>
            <w:vAlign w:val="center"/>
          </w:tcPr>
          <w:p>
            <w:pPr>
              <w:spacing w:after="0"/>
            </w:pPr>
            <w:r/>
            <w:r>
              <w:rPr>
                <w:rFonts w:ascii="Aptos" w:hAnsi="Aptos"/>
                <w:b w:val="0"/>
                <w:color w:val="1F2937"/>
                <w:sz w:val="17"/>
              </w:rPr>
              <w:t>businessContext rule matrix</w:t>
            </w:r>
          </w:p>
        </w:tc>
        <w:tc>
          <w:tcPr>
            <w:tcW w:type="dxa" w:w="2520"/>
            <w:shd w:fill="F4F7FA"/>
            <w:vAlign w:val="center"/>
          </w:tcPr>
          <w:p>
            <w:pPr>
              <w:spacing w:after="0"/>
            </w:pPr>
            <w:r/>
            <w:r>
              <w:rPr>
                <w:rFonts w:ascii="Aptos" w:hAnsi="Aptos"/>
                <w:b w:val="0"/>
                <w:color w:val="1F2937"/>
                <w:sz w:val="17"/>
              </w:rPr>
              <w:t>Avoid hardcoding a program name</w:t>
            </w:r>
          </w:p>
        </w:tc>
      </w:tr>
      <w:tr>
        <w:tc>
          <w:tcPr>
            <w:tcW w:type="dxa" w:w="2232"/>
            <w:vAlign w:val="center"/>
          </w:tcPr>
          <w:p>
            <w:pPr>
              <w:spacing w:after="0"/>
            </w:pPr>
            <w:r/>
            <w:r>
              <w:rPr>
                <w:rFonts w:ascii="Aptos" w:hAnsi="Aptos"/>
                <w:b w:val="0"/>
                <w:color w:val="1F2937"/>
                <w:sz w:val="17"/>
              </w:rPr>
              <w:t>Gekko direct + event</w:t>
            </w:r>
          </w:p>
        </w:tc>
        <w:tc>
          <w:tcPr>
            <w:tcW w:type="dxa" w:w="2232"/>
            <w:vAlign w:val="center"/>
          </w:tcPr>
          <w:p>
            <w:pPr>
              <w:spacing w:after="0"/>
            </w:pPr>
            <w:r/>
            <w:r>
              <w:rPr>
                <w:rFonts w:ascii="Aptos" w:hAnsi="Aptos"/>
                <w:b w:val="0"/>
                <w:color w:val="1F2937"/>
                <w:sz w:val="17"/>
              </w:rPr>
              <w:t>SCC + webhook</w:t>
            </w:r>
          </w:p>
        </w:tc>
        <w:tc>
          <w:tcPr>
            <w:tcW w:type="dxa" w:w="3672"/>
            <w:vAlign w:val="center"/>
          </w:tcPr>
          <w:p>
            <w:pPr>
              <w:spacing w:after="0"/>
            </w:pPr>
            <w:r/>
            <w:r>
              <w:rPr>
                <w:rFonts w:ascii="Aptos" w:hAnsi="Aptos"/>
                <w:b w:val="0"/>
                <w:color w:val="1F2937"/>
                <w:sz w:val="17"/>
              </w:rPr>
              <w:t>Both paths</w:t>
            </w:r>
          </w:p>
        </w:tc>
        <w:tc>
          <w:tcPr>
            <w:tcW w:type="dxa" w:w="2520"/>
            <w:vAlign w:val="center"/>
          </w:tcPr>
          <w:p>
            <w:pPr>
              <w:spacing w:after="0"/>
            </w:pPr>
            <w:r/>
            <w:r>
              <w:rPr>
                <w:rFonts w:ascii="Aptos" w:hAnsi="Aptos"/>
                <w:b w:val="0"/>
                <w:color w:val="1F2937"/>
                <w:sz w:val="17"/>
              </w:rPr>
              <w:t>Route by change type/program</w:t>
            </w:r>
          </w:p>
        </w:tc>
      </w:tr>
    </w:tbl>
    <w:p>
      <w:pPr>
        <w:spacing w:after="40"/>
      </w:pPr>
    </w:p>
    <w:p>
      <w:pPr>
        <w:pStyle w:val="Heading2"/>
      </w:pPr>
      <w:r>
        <w:t>3.5 Plan Change Gaps to Close</w:t>
      </w:r>
    </w:p>
    <w:p>
      <w:pPr>
        <w:pStyle w:val="ListNumber"/>
        <w:spacing w:after="60"/>
      </w:pPr>
      <w:r>
        <w:t>Build PUT /v3/subscriptions/{id}/update in SubscriptionV3RestController and back it with SubscriptionServiceV3Impl.updateSubscriptionPlan().</w:t>
      </w:r>
    </w:p>
    <w:p>
      <w:pPr>
        <w:pStyle w:val="ListNumber"/>
        <w:spacing w:after="60"/>
      </w:pPr>
      <w:r>
        <w:t>Create a unified request/item schema supporting both quantity-only and full-pricing changes.</w:t>
      </w:r>
    </w:p>
    <w:p>
      <w:pPr>
        <w:pStyle w:val="ListNumber"/>
        <w:spacing w:after="60"/>
      </w:pPr>
      <w:r>
        <w:t>Adopt primaryCustomerId + primaryCustomerIdType rather than V1's tenantId-only approach.</w:t>
      </w:r>
    </w:p>
    <w:p>
      <w:pPr>
        <w:pStyle w:val="ListNumber"/>
        <w:spacing w:after="60"/>
      </w:pPr>
      <w:r>
        <w:t>Reuse the ChangeRequestDao state machine: PENDING → PROCESSING → CONFIRMED / OVERRIDDEN / VALIDATION_ERROR.</w:t>
      </w:r>
    </w:p>
    <w:p>
      <w:pPr>
        <w:pStyle w:val="ListNumber"/>
        <w:spacing w:after="60"/>
      </w:pPr>
      <w:r>
        <w:t>Port IMM/SOT/EOT effective-date behavior using BMS getBillingCycleDate().</w:t>
      </w:r>
    </w:p>
    <w:p>
      <w:pPr>
        <w:pStyle w:val="ListNumber"/>
        <w:spacing w:after="60"/>
      </w:pPr>
      <w:r>
        <w:t>Port duplicate detection with awareness of the V3 adjustments-array structure.</w:t>
      </w:r>
    </w:p>
    <w:p>
      <w:pPr>
        <w:pStyle w:val="ListNumber"/>
        <w:spacing w:after="60"/>
      </w:pPr>
      <w:r>
        <w:t>Support both Gekko-direct and SCC+webhook integration paths and route them by change type/program.</w:t>
      </w:r>
    </w:p>
    <w:p>
      <w:pPr>
        <w:pStyle w:val="ListNumber"/>
        <w:spacing w:after="60"/>
      </w:pPr>
      <w:r>
        <w:t>Extend event and webhook confirmation flows to resolve against SubscriptionDaoV3.</w:t>
      </w:r>
    </w:p>
    <w:p>
      <w:pPr>
        <w:pStyle w:val="ListNumber"/>
        <w:spacing w:after="60"/>
      </w:pPr>
      <w:r>
        <w:t>Convert program-specific restrictions into a businessContext-driven rule matrix.</w:t>
      </w:r>
    </w:p>
    <w:p>
      <w:pPr>
        <w:pStyle w:val="Heading1"/>
      </w:pPr>
      <w:r>
        <w:t>4. Cross-Cutting Design Principles</w:t>
      </w:r>
    </w:p>
    <w:p>
      <w:pPr>
        <w:spacing w:after="100"/>
      </w:pPr>
      <w:r>
        <w:rPr>
          <w:b/>
          <w:color w:val="2F75B5"/>
        </w:rPr>
        <w:t xml:space="preserve">Business-context driven rules: </w:t>
      </w:r>
      <w:r>
        <w:t>Rules such as returnShipmentFeeSku requirements, PAGE_SET overage handling, BASE-only multi-item rules, and pricing restrictions should be conditionally applied using metadata.businessContext.</w:t>
      </w:r>
    </w:p>
    <w:p>
      <w:pPr>
        <w:spacing w:after="100"/>
      </w:pPr>
      <w:r>
        <w:rPr>
          <w:b/>
          <w:color w:val="2F75B5"/>
        </w:rPr>
        <w:t xml:space="preserve">Country-aware behavior: </w:t>
      </w:r>
      <w:r>
        <w:t>Fees, taxes, currency and other country-specific behavior should follow the CountryFeatureMatrix pattern already used for GEO fee injection.</w:t>
      </w:r>
    </w:p>
    <w:p>
      <w:pPr>
        <w:spacing w:after="100"/>
      </w:pPr>
      <w:r>
        <w:rPr>
          <w:b/>
          <w:color w:val="2F75B5"/>
        </w:rPr>
        <w:t xml:space="preserve">Adjustment-based pricing: </w:t>
      </w:r>
      <w:r>
        <w:t>V3 pricing is represented by pricing.adjustments[{type, amount, code}]. Ported logic must read and write through this structure.</w:t>
      </w:r>
    </w:p>
    <w:p>
      <w:pPr>
        <w:spacing w:after="100"/>
      </w:pPr>
      <w:r>
        <w:rPr>
          <w:b/>
          <w:color w:val="2F75B5"/>
        </w:rPr>
        <w:t xml:space="preserve">Flexible customer identity: </w:t>
      </w:r>
      <w:r>
        <w:t>Use primaryCustomerId + primaryCustomerIdType as the common customer key pattern proven by V2.</w:t>
      </w:r>
    </w:p>
    <w:p>
      <w:pPr>
        <w:spacing w:after="100"/>
      </w:pPr>
      <w:r>
        <w:rPr>
          <w:b/>
          <w:color w:val="2F75B5"/>
        </w:rPr>
        <w:t xml:space="preserve">Dual downstream integration: </w:t>
      </w:r>
      <w:r>
        <w:t>Do not force all plan changes through one system. Gekko and SCC remain distinct integration paths with different confirmation mechanisms.</w:t>
      </w:r>
    </w:p>
    <w:p>
      <w:pPr>
        <w:pStyle w:val="Heading1"/>
      </w:pPr>
      <w:r>
        <w:t>5. V3 Parity Backlog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shd w:fill="17365D"/>
            <w:vAlign w:val="center"/>
          </w:tcPr>
          <w:p>
            <w:pPr>
              <w:spacing w:after="0"/>
            </w:pPr>
            <w:r/>
            <w:r>
              <w:rPr>
                <w:rFonts w:ascii="Aptos" w:hAnsi="Aptos"/>
                <w:b/>
                <w:color w:val="FFFFFF"/>
                <w:sz w:val="17"/>
              </w:rPr>
              <w:t>Flow</w:t>
            </w:r>
          </w:p>
        </w:tc>
        <w:tc>
          <w:tcPr>
            <w:tcW w:type="dxa" w:w="5616"/>
            <w:shd w:fill="17365D"/>
            <w:vAlign w:val="center"/>
          </w:tcPr>
          <w:p>
            <w:pPr>
              <w:spacing w:after="0"/>
            </w:pPr>
            <w:r/>
            <w:r>
              <w:rPr>
                <w:rFonts w:ascii="Aptos" w:hAnsi="Aptos"/>
                <w:b/>
                <w:color w:val="FFFFFF"/>
                <w:sz w:val="17"/>
              </w:rPr>
              <w:t>Feature</w:t>
            </w:r>
          </w:p>
        </w:tc>
        <w:tc>
          <w:tcPr>
            <w:tcW w:type="dxa" w:w="1584"/>
            <w:shd w:fill="17365D"/>
            <w:vAlign w:val="center"/>
          </w:tcPr>
          <w:p>
            <w:pPr>
              <w:spacing w:after="0"/>
            </w:pPr>
            <w:r/>
            <w:r>
              <w:rPr>
                <w:rFonts w:ascii="Aptos" w:hAnsi="Aptos"/>
                <w:b/>
                <w:color w:val="FFFFFF"/>
                <w:sz w:val="17"/>
              </w:rPr>
              <w:t>Status</w:t>
            </w:r>
          </w:p>
        </w:tc>
        <w:tc>
          <w:tcPr>
            <w:tcW w:type="dxa" w:w="1872"/>
            <w:shd w:fill="17365D"/>
            <w:vAlign w:val="center"/>
          </w:tcPr>
          <w:p>
            <w:pPr>
              <w:spacing w:after="0"/>
            </w:pPr>
            <w:r/>
            <w:r>
              <w:rPr>
                <w:rFonts w:ascii="Aptos" w:hAnsi="Aptos"/>
                <w:b/>
                <w:color w:val="FFFFFF"/>
                <w:sz w:val="17"/>
              </w:rPr>
              <w:t>Priority</w:t>
            </w:r>
          </w:p>
        </w:tc>
      </w:tr>
      <w:tr>
        <w:tc>
          <w:tcPr>
            <w:tcW w:type="dxa" w:w="1584"/>
            <w:vAlign w:val="center"/>
          </w:tcPr>
          <w:p>
            <w:pPr>
              <w:spacing w:after="0"/>
            </w:pPr>
            <w:r/>
            <w:r>
              <w:rPr>
                <w:rFonts w:ascii="Aptos" w:hAnsi="Aptos"/>
                <w:b w:val="0"/>
                <w:color w:val="1F2937"/>
                <w:sz w:val="17"/>
              </w:rPr>
              <w:t>Upgrade</w:t>
            </w:r>
          </w:p>
        </w:tc>
        <w:tc>
          <w:tcPr>
            <w:tcW w:type="dxa" w:w="5616"/>
            <w:vAlign w:val="center"/>
          </w:tcPr>
          <w:p>
            <w:pPr>
              <w:spacing w:after="0"/>
            </w:pPr>
            <w:r/>
            <w:r>
              <w:rPr>
                <w:rFonts w:ascii="Aptos" w:hAnsi="Aptos"/>
                <w:b w:val="0"/>
                <w:color w:val="1F2937"/>
                <w:sz w:val="17"/>
              </w:rPr>
              <w:t>Basic validation (parentOrderId, ACTIVE check, returnShipmentFeeSku)</w:t>
            </w:r>
          </w:p>
        </w:tc>
        <w:tc>
          <w:tcPr>
            <w:tcW w:type="dxa" w:w="1584"/>
            <w:vAlign w:val="center"/>
          </w:tcPr>
          <w:p>
            <w:pPr>
              <w:spacing w:after="0"/>
            </w:pPr>
            <w:r/>
            <w:r>
              <w:rPr>
                <w:rFonts w:ascii="Aptos" w:hAnsi="Aptos"/>
                <w:b/>
                <w:color w:val="70AD47"/>
                <w:sz w:val="17"/>
              </w:rPr>
              <w:t>✅ Done</w:t>
            </w:r>
          </w:p>
        </w:tc>
        <w:tc>
          <w:tcPr>
            <w:tcW w:type="dxa" w:w="1872"/>
            <w:vAlign w:val="center"/>
          </w:tcPr>
          <w:p>
            <w:pPr>
              <w:spacing w:after="0"/>
            </w:pPr>
            <w:r/>
            <w:r>
              <w:rPr>
                <w:rFonts w:ascii="Aptos" w:hAnsi="Aptos"/>
                <w:b/>
                <w:color w:val="70AD47"/>
                <w:sz w:val="17"/>
              </w:rPr>
              <w:t>—</w:t>
            </w:r>
          </w:p>
        </w:tc>
      </w:tr>
      <w:tr>
        <w:tc>
          <w:tcPr>
            <w:tcW w:type="dxa" w:w="1584"/>
            <w:shd w:fill="F4F7FA"/>
            <w:vAlign w:val="center"/>
          </w:tcPr>
          <w:p>
            <w:pPr>
              <w:spacing w:after="0"/>
            </w:pPr>
            <w:r/>
            <w:r>
              <w:rPr>
                <w:rFonts w:ascii="Aptos" w:hAnsi="Aptos"/>
                <w:b w:val="0"/>
                <w:color w:val="1F2937"/>
                <w:sz w:val="17"/>
              </w:rPr>
              <w:t>Upgrade</w:t>
            </w:r>
          </w:p>
        </w:tc>
        <w:tc>
          <w:tcPr>
            <w:tcW w:type="dxa" w:w="5616"/>
            <w:shd w:fill="F4F7FA"/>
            <w:vAlign w:val="center"/>
          </w:tcPr>
          <w:p>
            <w:pPr>
              <w:spacing w:after="0"/>
            </w:pPr>
            <w:r/>
            <w:r>
              <w:rPr>
                <w:rFonts w:ascii="Aptos" w:hAnsi="Aptos"/>
                <w:b w:val="0"/>
                <w:color w:val="1F2937"/>
                <w:sz w:val="17"/>
              </w:rPr>
              <w:t>HW proration calculation</w:t>
            </w:r>
          </w:p>
        </w:tc>
        <w:tc>
          <w:tcPr>
            <w:tcW w:type="dxa" w:w="1584"/>
            <w:shd w:fill="F4F7FA"/>
            <w:vAlign w:val="center"/>
          </w:tcPr>
          <w:p>
            <w:pPr>
              <w:spacing w:after="0"/>
            </w:pPr>
            <w:r/>
            <w:r>
              <w:rPr>
                <w:rFonts w:ascii="Aptos" w:hAnsi="Aptos"/>
                <w:b/>
                <w:color w:val="70AD47"/>
                <w:sz w:val="17"/>
              </w:rPr>
              <w:t>✅ Done</w:t>
            </w:r>
          </w:p>
        </w:tc>
        <w:tc>
          <w:tcPr>
            <w:tcW w:type="dxa" w:w="1872"/>
            <w:shd w:fill="F4F7FA"/>
            <w:vAlign w:val="center"/>
          </w:tcPr>
          <w:p>
            <w:pPr>
              <w:spacing w:after="0"/>
            </w:pPr>
            <w:r/>
            <w:r>
              <w:rPr>
                <w:rFonts w:ascii="Aptos" w:hAnsi="Aptos"/>
                <w:b/>
                <w:color w:val="70AD47"/>
                <w:sz w:val="17"/>
              </w:rPr>
              <w:t>—</w:t>
            </w:r>
          </w:p>
        </w:tc>
      </w:tr>
      <w:tr>
        <w:tc>
          <w:tcPr>
            <w:tcW w:type="dxa" w:w="1584"/>
            <w:vAlign w:val="center"/>
          </w:tcPr>
          <w:p>
            <w:pPr>
              <w:spacing w:after="0"/>
            </w:pPr>
            <w:r/>
            <w:r>
              <w:rPr>
                <w:rFonts w:ascii="Aptos" w:hAnsi="Aptos"/>
                <w:b w:val="0"/>
                <w:color w:val="1F2937"/>
                <w:sz w:val="17"/>
              </w:rPr>
              <w:t>Upgrade</w:t>
            </w:r>
          </w:p>
        </w:tc>
        <w:tc>
          <w:tcPr>
            <w:tcW w:type="dxa" w:w="5616"/>
            <w:vAlign w:val="center"/>
          </w:tcPr>
          <w:p>
            <w:pPr>
              <w:spacing w:after="0"/>
            </w:pPr>
            <w:r/>
            <w:r>
              <w:rPr>
                <w:rFonts w:ascii="Aptos" w:hAnsi="Aptos"/>
                <w:b w:val="0"/>
                <w:color w:val="1F2937"/>
                <w:sz w:val="17"/>
              </w:rPr>
              <w:t>Lowest overage price (Month 1)</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Upgrade</w:t>
            </w:r>
          </w:p>
        </w:tc>
        <w:tc>
          <w:tcPr>
            <w:tcW w:type="dxa" w:w="5616"/>
            <w:shd w:fill="F4F7FA"/>
            <w:vAlign w:val="center"/>
          </w:tcPr>
          <w:p>
            <w:pPr>
              <w:spacing w:after="0"/>
            </w:pPr>
            <w:r/>
            <w:r>
              <w:rPr>
                <w:rFonts w:ascii="Aptos" w:hAnsi="Aptos"/>
                <w:b w:val="0"/>
                <w:color w:val="1F2937"/>
                <w:sz w:val="17"/>
              </w:rPr>
              <w:t>Old subscription DEACTIVATING + undo overages/changes</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Upgrade</w:t>
            </w:r>
          </w:p>
        </w:tc>
        <w:tc>
          <w:tcPr>
            <w:tcW w:type="dxa" w:w="5616"/>
            <w:vAlign w:val="center"/>
          </w:tcPr>
          <w:p>
            <w:pPr>
              <w:spacing w:after="0"/>
            </w:pPr>
            <w:r/>
            <w:r>
              <w:rPr>
                <w:rFonts w:ascii="Aptos" w:hAnsi="Aptos"/>
                <w:b w:val="0"/>
                <w:color w:val="1F2937"/>
                <w:sz w:val="17"/>
              </w:rPr>
              <w:t>Month-2 scheduled overage correction (SCC)</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Upgrade</w:t>
            </w:r>
          </w:p>
        </w:tc>
        <w:tc>
          <w:tcPr>
            <w:tcW w:type="dxa" w:w="5616"/>
            <w:shd w:fill="F4F7FA"/>
            <w:vAlign w:val="center"/>
          </w:tcPr>
          <w:p>
            <w:pPr>
              <w:spacing w:after="0"/>
            </w:pPr>
            <w:r/>
            <w:r>
              <w:rPr>
                <w:rFonts w:ascii="Aptos" w:hAnsi="Aptos"/>
                <w:b w:val="0"/>
                <w:color w:val="1F2937"/>
                <w:sz w:val="17"/>
              </w:rPr>
              <w:t>Per-country/program rule matrix</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BF9000"/>
                <w:sz w:val="17"/>
              </w:rPr>
              <w:t>Medium</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Endpoint (PUT /v3/subscriptions/{id}/update)</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Unified item schema (pricing + quantity)</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Flexible customer identifier</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ChangeRequestDao concurrency queue</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IMM/SOT/EOT effective-date logic</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Dedup logic (adjustments-array aware)</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BF9000"/>
                <w:sz w:val="17"/>
              </w:rPr>
              <w:t>Medium</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Gekko-direct integration path</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SCC + webhook integration path</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C00000"/>
                <w:sz w:val="17"/>
              </w:rPr>
              <w:t>High</w:t>
            </w:r>
          </w:p>
        </w:tc>
      </w:tr>
      <w:tr>
        <w:tc>
          <w:tcPr>
            <w:tcW w:type="dxa" w:w="1584"/>
            <w:vAlign w:val="center"/>
          </w:tcPr>
          <w:p>
            <w:pPr>
              <w:spacing w:after="0"/>
            </w:pPr>
            <w:r/>
            <w:r>
              <w:rPr>
                <w:rFonts w:ascii="Aptos" w:hAnsi="Aptos"/>
                <w:b w:val="0"/>
                <w:color w:val="1F2937"/>
                <w:sz w:val="17"/>
              </w:rPr>
              <w:t>Plan Change</w:t>
            </w:r>
          </w:p>
        </w:tc>
        <w:tc>
          <w:tcPr>
            <w:tcW w:type="dxa" w:w="5616"/>
            <w:vAlign w:val="center"/>
          </w:tcPr>
          <w:p>
            <w:pPr>
              <w:spacing w:after="0"/>
            </w:pPr>
            <w:r/>
            <w:r>
              <w:rPr>
                <w:rFonts w:ascii="Aptos" w:hAnsi="Aptos"/>
                <w:b w:val="0"/>
                <w:color w:val="1F2937"/>
                <w:sz w:val="17"/>
              </w:rPr>
              <w:t>Event + webhook confirmation flows</w:t>
            </w:r>
          </w:p>
        </w:tc>
        <w:tc>
          <w:tcPr>
            <w:tcW w:type="dxa" w:w="1584"/>
            <w:vAlign w:val="center"/>
          </w:tcPr>
          <w:p>
            <w:pPr>
              <w:spacing w:after="0"/>
            </w:pPr>
            <w:r/>
            <w:r>
              <w:rPr>
                <w:rFonts w:ascii="Aptos" w:hAnsi="Aptos"/>
                <w:b/>
                <w:color w:val="C00000"/>
                <w:sz w:val="17"/>
              </w:rPr>
              <w:t>❌ Missing</w:t>
            </w:r>
          </w:p>
        </w:tc>
        <w:tc>
          <w:tcPr>
            <w:tcW w:type="dxa" w:w="1872"/>
            <w:vAlign w:val="center"/>
          </w:tcPr>
          <w:p>
            <w:pPr>
              <w:spacing w:after="0"/>
            </w:pPr>
            <w:r/>
            <w:r>
              <w:rPr>
                <w:rFonts w:ascii="Aptos" w:hAnsi="Aptos"/>
                <w:b/>
                <w:color w:val="C00000"/>
                <w:sz w:val="17"/>
              </w:rPr>
              <w:t>High</w:t>
            </w:r>
          </w:p>
        </w:tc>
      </w:tr>
      <w:tr>
        <w:tc>
          <w:tcPr>
            <w:tcW w:type="dxa" w:w="1584"/>
            <w:shd w:fill="F4F7FA"/>
            <w:vAlign w:val="center"/>
          </w:tcPr>
          <w:p>
            <w:pPr>
              <w:spacing w:after="0"/>
            </w:pPr>
            <w:r/>
            <w:r>
              <w:rPr>
                <w:rFonts w:ascii="Aptos" w:hAnsi="Aptos"/>
                <w:b w:val="0"/>
                <w:color w:val="1F2937"/>
                <w:sz w:val="17"/>
              </w:rPr>
              <w:t>Plan Change</w:t>
            </w:r>
          </w:p>
        </w:tc>
        <w:tc>
          <w:tcPr>
            <w:tcW w:type="dxa" w:w="5616"/>
            <w:shd w:fill="F4F7FA"/>
            <w:vAlign w:val="center"/>
          </w:tcPr>
          <w:p>
            <w:pPr>
              <w:spacing w:after="0"/>
            </w:pPr>
            <w:r/>
            <w:r>
              <w:rPr>
                <w:rFonts w:ascii="Aptos" w:hAnsi="Aptos"/>
                <w:b w:val="0"/>
                <w:color w:val="1F2937"/>
                <w:sz w:val="17"/>
              </w:rPr>
              <w:t>Per-country/program change-type rule matrix</w:t>
            </w:r>
          </w:p>
        </w:tc>
        <w:tc>
          <w:tcPr>
            <w:tcW w:type="dxa" w:w="1584"/>
            <w:shd w:fill="F4F7FA"/>
            <w:vAlign w:val="center"/>
          </w:tcPr>
          <w:p>
            <w:pPr>
              <w:spacing w:after="0"/>
            </w:pPr>
            <w:r/>
            <w:r>
              <w:rPr>
                <w:rFonts w:ascii="Aptos" w:hAnsi="Aptos"/>
                <w:b/>
                <w:color w:val="C00000"/>
                <w:sz w:val="17"/>
              </w:rPr>
              <w:t>❌ Missing</w:t>
            </w:r>
          </w:p>
        </w:tc>
        <w:tc>
          <w:tcPr>
            <w:tcW w:type="dxa" w:w="1872"/>
            <w:shd w:fill="F4F7FA"/>
            <w:vAlign w:val="center"/>
          </w:tcPr>
          <w:p>
            <w:pPr>
              <w:spacing w:after="0"/>
            </w:pPr>
            <w:r/>
            <w:r>
              <w:rPr>
                <w:rFonts w:ascii="Aptos" w:hAnsi="Aptos"/>
                <w:b/>
                <w:color w:val="BF9000"/>
                <w:sz w:val="17"/>
              </w:rPr>
              <w:t>Medium</w:t>
            </w:r>
          </w:p>
        </w:tc>
      </w:tr>
    </w:tbl>
    <w:p>
      <w:pPr>
        <w:spacing w:after="40"/>
      </w:pPr>
    </w:p>
    <w:p>
      <w:pPr>
        <w:pStyle w:val="Heading1"/>
      </w:pPr>
      <w:r>
        <w:t>6. Recommended Implementation Sequence</w:t>
      </w:r>
    </w:p>
    <w:p>
      <w:pPr>
        <w:pStyle w:val="ListNumber"/>
        <w:spacing w:after="60"/>
      </w:pPr>
      <w:r>
        <w:t>Complete the V3 UPGRADE parity items with High priority: lowest-overage pricing, old-subscription cleanup, and month-2 SCC correction.</w:t>
      </w:r>
    </w:p>
    <w:p>
      <w:pPr>
        <w:pStyle w:val="ListNumber"/>
        <w:spacing w:after="60"/>
      </w:pPr>
      <w:r>
        <w:t>Define the V3 plan-change contract: unified item model, customer identifier model, supported policies, and businessContext rule matrix.</w:t>
      </w:r>
    </w:p>
    <w:p>
      <w:pPr>
        <w:pStyle w:val="ListNumber"/>
        <w:spacing w:after="60"/>
      </w:pPr>
      <w:r>
        <w:t>Implement the V3 endpoint and ChangeRequestDao-backed concurrency state machine.</w:t>
      </w:r>
    </w:p>
    <w:p>
      <w:pPr>
        <w:pStyle w:val="ListNumber"/>
        <w:spacing w:after="60"/>
      </w:pPr>
      <w:r>
        <w:t>Implement effective-date and duplicate-detection behavior.</w:t>
      </w:r>
    </w:p>
    <w:p>
      <w:pPr>
        <w:pStyle w:val="ListNumber"/>
        <w:spacing w:after="60"/>
      </w:pPr>
      <w:r>
        <w:t>Implement Gekko pricing/plan-swap integration and event confirmation.</w:t>
      </w:r>
    </w:p>
    <w:p>
      <w:pPr>
        <w:pStyle w:val="ListNumber"/>
        <w:spacing w:after="60"/>
      </w:pPr>
      <w:r>
        <w:t>Implement SCC quantity integration and webhook confirmation.</w:t>
      </w:r>
    </w:p>
    <w:p>
      <w:pPr>
        <w:pStyle w:val="ListNumber"/>
        <w:spacing w:after="60"/>
      </w:pPr>
      <w:r>
        <w:t>Add country/program rule-matrix coverage and integration tests for each supported businessContext/country combination.</w:t>
      </w:r>
    </w:p>
    <w:p>
      <w:pPr>
        <w:pStyle w:val="Heading1"/>
      </w:pPr>
      <w:r>
        <w:t>7. Grooming / JIRA Readiness</w:t>
      </w:r>
    </w:p>
    <w:p>
      <w:r>
        <w:t>The identified gaps can be decomposed directly into JIRA stories. A practical story structure is to separate contract/API work, core service logic, downstream integrations, asynchronous confirmation, and country/program validation. Each story should include unit tests plus integration coverage for the applicable businessContext and country combinations.</w:t>
      </w:r>
    </w:p>
    <w:p/>
    <w:p>
      <w:pPr>
        <w:pStyle w:val="CaptionSmall"/>
      </w:pPr>
      <w:r>
        <w:rPr>
          <w:b/>
        </w:rPr>
        <w:t xml:space="preserve">Source: </w:t>
      </w:r>
      <w:r>
        <w:t>planchangeupgrade.md, repository anjalitssl/sms, main branch. Content reformatted and structured for presentation; technical meaning preserved.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Internal Technical Analysis  |  V1 → V3 Parity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SMS Platform • UPGRADE &amp; PLAN 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