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17365D"/>
          <w:sz w:val="60"/>
        </w:rPr>
        <w:t>UPGRADE &amp; PLAN CHANGE</w:t>
      </w:r>
    </w:p>
    <w:p>
      <w:r>
        <w:rPr>
          <w:rFonts w:ascii="Aptos Display" w:hAnsi="Aptos Display"/>
          <w:color w:val="2F75B5"/>
          <w:sz w:val="44"/>
        </w:rPr>
        <w:t>V1 → V3 Parity Assessment</w:t>
      </w:r>
    </w:p>
    <w:p>
      <w:pPr>
        <w:spacing w:before="400"/>
      </w:pPr>
      <w:r>
        <w:rPr>
          <w:b/>
          <w:color w:val="1F2937"/>
          <w:sz w:val="24"/>
        </w:rPr>
        <w:t>Technical Design &amp; Gap Analysis</w:t>
      </w:r>
    </w:p>
    <w:p>
      <w:pPr>
        <w:spacing w:before="160"/>
      </w:pPr>
      <w:r>
        <w:rPr>
          <w:color w:val="666666"/>
          <w:sz w:val="21"/>
        </w:rPr>
        <w:t>Scope: Upgrade and Plan Change functionality across V1, V2 and the target V3 platform.</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
              <w:rPr>
                <w:rFonts w:ascii="Aptos" w:hAnsi="Aptos"/>
                <w:b/>
                <w:color w:val="17365D"/>
                <w:sz w:val="18"/>
              </w:rPr>
              <w:t>Document purpose</w:t>
            </w:r>
          </w:p>
        </w:tc>
        <w:tc>
          <w:tcPr>
            <w:tcW w:type="dxa" w:w="4968"/>
            <w:vAlign w:val="center"/>
          </w:tcPr>
          <w:p>
            <w:pPr>
              <w:spacing w:after="0"/>
            </w:pPr>
            <w:r/>
            <w:r>
              <w:rPr>
                <w:rFonts w:ascii="Aptos" w:hAnsi="Aptos"/>
                <w:b w:val="0"/>
                <w:color w:val="1F2937"/>
                <w:sz w:val="18"/>
              </w:rPr>
              <w:t>Assess V1/V2 behavior, map it to V3, and identify parity gaps.</w:t>
            </w:r>
          </w:p>
        </w:tc>
      </w:tr>
      <w:tr>
        <w:tc>
          <w:tcPr>
            <w:tcW w:type="dxa" w:w="4968"/>
            <w:shd w:fill="D9EAF7"/>
            <w:vAlign w:val="center"/>
          </w:tcPr>
          <w:p>
            <w:pPr>
              <w:spacing w:after="0"/>
            </w:pPr>
            <w:r/>
            <w:r>
              <w:rPr>
                <w:rFonts w:ascii="Aptos" w:hAnsi="Aptos"/>
                <w:b/>
                <w:color w:val="17365D"/>
                <w:sz w:val="18"/>
              </w:rPr>
              <w:t>Primary focus</w:t>
            </w:r>
          </w:p>
        </w:tc>
        <w:tc>
          <w:tcPr>
            <w:tcW w:type="dxa" w:w="4968"/>
            <w:vAlign w:val="center"/>
          </w:tcPr>
          <w:p>
            <w:pPr>
              <w:spacing w:after="0"/>
            </w:pPr>
            <w:r/>
            <w:r>
              <w:rPr>
                <w:rFonts w:ascii="Aptos" w:hAnsi="Aptos"/>
                <w:b w:val="0"/>
                <w:color w:val="1F2937"/>
                <w:sz w:val="18"/>
              </w:rPr>
              <w:t>UPGRADE and PLAN CHANGE functionality.</w:t>
            </w:r>
          </w:p>
        </w:tc>
      </w:tr>
      <w:tr>
        <w:tc>
          <w:tcPr>
            <w:tcW w:type="dxa" w:w="4968"/>
            <w:shd w:fill="D9EAF7"/>
            <w:vAlign w:val="center"/>
          </w:tcPr>
          <w:p>
            <w:pPr>
              <w:spacing w:after="0"/>
            </w:pPr>
            <w:r/>
            <w:r>
              <w:rPr>
                <w:rFonts w:ascii="Aptos" w:hAnsi="Aptos"/>
                <w:b/>
                <w:color w:val="17365D"/>
                <w:sz w:val="18"/>
              </w:rPr>
              <w:t>Target architecture</w:t>
            </w:r>
          </w:p>
        </w:tc>
        <w:tc>
          <w:tcPr>
            <w:tcW w:type="dxa" w:w="4968"/>
            <w:vAlign w:val="center"/>
          </w:tcPr>
          <w:p>
            <w:pPr>
              <w:spacing w:after="0"/>
            </w:pPr>
            <w:r/>
            <w:r>
              <w:rPr>
                <w:rFonts w:ascii="Aptos" w:hAnsi="Aptos"/>
                <w:b w:val="0"/>
                <w:color w:val="1F2937"/>
                <w:sz w:val="18"/>
              </w:rPr>
              <w:t>Multi-country, multi-program V3 with businessContext-driven rules.</w:t>
            </w:r>
          </w:p>
        </w:tc>
      </w:tr>
      <w:tr>
        <w:tc>
          <w:tcPr>
            <w:tcW w:type="dxa" w:w="4968"/>
            <w:shd w:fill="D9EAF7"/>
            <w:vAlign w:val="center"/>
          </w:tcPr>
          <w:p>
            <w:pPr>
              <w:spacing w:after="0"/>
            </w:pPr>
            <w:r/>
            <w:r>
              <w:rPr>
                <w:rFonts w:ascii="Aptos" w:hAnsi="Aptos"/>
                <w:b/>
                <w:color w:val="17365D"/>
                <w:sz w:val="18"/>
              </w:rPr>
              <w:t>Source</w:t>
            </w:r>
          </w:p>
        </w:tc>
        <w:tc>
          <w:tcPr>
            <w:tcW w:type="dxa" w:w="4968"/>
            <w:vAlign w:val="center"/>
          </w:tcPr>
          <w:p>
            <w:pPr>
              <w:spacing w:after="0"/>
            </w:pPr>
            <w:r/>
            <w:r>
              <w:rPr>
                <w:rFonts w:ascii="Aptos" w:hAnsi="Aptos"/>
                <w:b w:val="0"/>
                <w:color w:val="1F2937"/>
                <w:sz w:val="18"/>
              </w:rPr>
              <w:t>planchangeupgrade.md from anjalitssl/sms (main branch).</w:t>
            </w:r>
          </w:p>
        </w:tc>
      </w:tr>
    </w:tbl>
    <w:p>
      <w:r>
        <w:br w:type="page"/>
      </w:r>
    </w:p>
    <w:p>
      <w:pPr>
        <w:pStyle w:val="Heading1"/>
      </w:pPr>
      <w:r>
        <w:t>Executive Summary</w:t>
      </w:r>
    </w:p>
    <w:p>
      <w:r>
        <w:rPr>
          <w:b/>
        </w:rPr>
        <w:t xml:space="preserve">Purpose. </w:t>
      </w:r>
      <w:r>
        <w:t>V1 was designed around a single country/program model. V3 combines V1 and V2 capabilities and introduces a flexible, multi-country, multi-business-line payload. The assessment identifies what is already implemented in V3 and what must be added to reach functional parity.</w:t>
      </w:r>
    </w:p>
    <w:p>
      <w:pPr>
        <w:pStyle w:val="Heading2"/>
      </w:pPr>
      <w:r>
        <w:t>Key Findings</w:t>
      </w:r>
    </w:p>
    <w:p>
      <w:pPr>
        <w:pStyle w:val="ListBullet"/>
        <w:spacing w:after="60"/>
        <w:ind w:left="360"/>
      </w:pPr>
      <w:r>
        <w:t>UPGRADE: Core request validation and hardware first-month proration are implemented in V3, but three important behaviors remain missing: lowest-overage pricing, old-subscription cleanup, and month-2 scheduled correction.</w:t>
      </w:r>
    </w:p>
    <w:p>
      <w:pPr>
        <w:pStyle w:val="ListBullet"/>
        <w:spacing w:after="60"/>
        <w:ind w:left="360"/>
      </w:pPr>
      <w:r>
        <w:t>PLAN CHANGE: V3 currently has no plan-change endpoint. The target design must combine V1 full pricing changes with V2 quantity-only changes.</w:t>
      </w:r>
    </w:p>
    <w:p>
      <w:pPr>
        <w:pStyle w:val="ListBullet"/>
        <w:spacing w:after="60"/>
        <w:ind w:left="360"/>
      </w:pPr>
      <w:r>
        <w:t>V3 should use businessContext and country as explicit dimensions for business rules instead of carrying forward V1/V2 program-specific hardcoding.</w:t>
      </w:r>
    </w:p>
    <w:p>
      <w:pPr>
        <w:pStyle w:val="ListBullet"/>
        <w:spacing w:after="60"/>
        <w:ind w:left="360"/>
      </w:pPr>
      <w:r>
        <w:t>V3 pricing logic must read from pricing.adjustments[] rather than the flat V1 pricing fields.</w:t>
      </w:r>
    </w:p>
    <w:p>
      <w:pPr>
        <w:pStyle w:val="ListBullet"/>
        <w:spacing w:after="60"/>
        <w:ind w:left="360"/>
      </w:pPr>
      <w:r>
        <w:t>V2's primaryCustomerId + primaryCustomerIdType model provides the flexible customer-identifier pattern that V3 should adopt.</w:t>
      </w:r>
    </w:p>
    <w:p>
      <w:pPr>
        <w:pStyle w:val="ListBullet"/>
        <w:spacing w:after="60"/>
        <w:ind w:left="360"/>
      </w:pPr>
      <w:r>
        <w:t>Downstream integration is dual-path: pricing/plan-swap changes use the Gekko/event pattern, while quantity changes use SCC/webhook confirmation.</w:t>
      </w:r>
    </w:p>
    <w:p>
      <w:pPr>
        <w:pStyle w:val="Heading2"/>
      </w:pPr>
      <w:r>
        <w:t>Parity Snapshot</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7365D"/>
            <w:vAlign w:val="center"/>
          </w:tcPr>
          <w:p>
            <w:pPr>
              <w:spacing w:after="0"/>
            </w:pPr>
            <w:r/>
            <w:r>
              <w:rPr>
                <w:rFonts w:ascii="Aptos" w:hAnsi="Aptos"/>
                <w:b/>
                <w:color w:val="FFFFFF"/>
                <w:sz w:val="17"/>
              </w:rPr>
              <w:t>Flow</w:t>
            </w:r>
          </w:p>
        </w:tc>
        <w:tc>
          <w:tcPr>
            <w:tcW w:type="dxa" w:w="4032"/>
            <w:shd w:fill="17365D"/>
            <w:vAlign w:val="center"/>
          </w:tcPr>
          <w:p>
            <w:pPr>
              <w:spacing w:after="0"/>
            </w:pPr>
            <w:r/>
            <w:r>
              <w:rPr>
                <w:rFonts w:ascii="Aptos" w:hAnsi="Aptos"/>
                <w:b/>
                <w:color w:val="FFFFFF"/>
                <w:sz w:val="17"/>
              </w:rPr>
              <w:t>Implemented in V3</w:t>
            </w:r>
          </w:p>
        </w:tc>
        <w:tc>
          <w:tcPr>
            <w:tcW w:type="dxa" w:w="4896"/>
            <w:shd w:fill="17365D"/>
            <w:vAlign w:val="center"/>
          </w:tcPr>
          <w:p>
            <w:pPr>
              <w:spacing w:after="0"/>
            </w:pPr>
            <w:r/>
            <w:r>
              <w:rPr>
                <w:rFonts w:ascii="Aptos" w:hAnsi="Aptos"/>
                <w:b/>
                <w:color w:val="FFFFFF"/>
                <w:sz w:val="17"/>
              </w:rPr>
              <w:t>Major Missing Capabilities</w:t>
            </w:r>
          </w:p>
        </w:tc>
      </w:tr>
      <w:tr>
        <w:tc>
          <w:tcPr>
            <w:tcW w:type="dxa" w:w="1728"/>
            <w:vAlign w:val="center"/>
          </w:tcPr>
          <w:p>
            <w:pPr>
              <w:spacing w:after="0"/>
            </w:pPr>
            <w:r/>
            <w:r>
              <w:rPr>
                <w:rFonts w:ascii="Aptos" w:hAnsi="Aptos"/>
                <w:b w:val="0"/>
                <w:color w:val="1F2937"/>
                <w:sz w:val="17"/>
              </w:rPr>
              <w:t>UPGRADE</w:t>
            </w:r>
          </w:p>
        </w:tc>
        <w:tc>
          <w:tcPr>
            <w:tcW w:type="dxa" w:w="4032"/>
            <w:vAlign w:val="center"/>
          </w:tcPr>
          <w:p>
            <w:pPr>
              <w:spacing w:after="0"/>
            </w:pPr>
            <w:r/>
            <w:r>
              <w:rPr>
                <w:rFonts w:ascii="Aptos" w:hAnsi="Aptos"/>
                <w:b w:val="0"/>
                <w:color w:val="1F2937"/>
                <w:sz w:val="17"/>
              </w:rPr>
              <w:t>Validation; parentOrderId linkage; returnShipmentFeeSku check; ACTIVE subscription check; HW proration</w:t>
            </w:r>
          </w:p>
        </w:tc>
        <w:tc>
          <w:tcPr>
            <w:tcW w:type="dxa" w:w="4896"/>
            <w:vAlign w:val="center"/>
          </w:tcPr>
          <w:p>
            <w:pPr>
              <w:spacing w:after="0"/>
            </w:pPr>
            <w:r/>
            <w:r>
              <w:rPr>
                <w:rFonts w:ascii="Aptos" w:hAnsi="Aptos"/>
                <w:b w:val="0"/>
                <w:color w:val="1F2937"/>
                <w:sz w:val="17"/>
              </w:rPr>
              <w:t>Lowest overage pricing; old-sub cleanup; month-2 SCC correction; rule matrix</w:t>
            </w:r>
          </w:p>
        </w:tc>
      </w:tr>
      <w:tr>
        <w:tc>
          <w:tcPr>
            <w:tcW w:type="dxa" w:w="1728"/>
            <w:shd w:fill="F4F7FA"/>
            <w:vAlign w:val="center"/>
          </w:tcPr>
          <w:p>
            <w:pPr>
              <w:spacing w:after="0"/>
            </w:pPr>
            <w:r/>
            <w:r>
              <w:rPr>
                <w:rFonts w:ascii="Aptos" w:hAnsi="Aptos"/>
                <w:b w:val="0"/>
                <w:color w:val="1F2937"/>
                <w:sz w:val="17"/>
              </w:rPr>
              <w:t>PLAN CHANGE</w:t>
            </w:r>
          </w:p>
        </w:tc>
        <w:tc>
          <w:tcPr>
            <w:tcW w:type="dxa" w:w="4032"/>
            <w:shd w:fill="F4F7FA"/>
            <w:vAlign w:val="center"/>
          </w:tcPr>
          <w:p>
            <w:pPr>
              <w:spacing w:after="0"/>
            </w:pPr>
            <w:r/>
            <w:r>
              <w:rPr>
                <w:rFonts w:ascii="Aptos" w:hAnsi="Aptos"/>
                <w:b w:val="0"/>
                <w:color w:val="1F2937"/>
                <w:sz w:val="17"/>
              </w:rPr>
              <w:t>No endpoint yet</w:t>
            </w:r>
          </w:p>
        </w:tc>
        <w:tc>
          <w:tcPr>
            <w:tcW w:type="dxa" w:w="4896"/>
            <w:shd w:fill="F4F7FA"/>
            <w:vAlign w:val="center"/>
          </w:tcPr>
          <w:p>
            <w:pPr>
              <w:spacing w:after="0"/>
            </w:pPr>
            <w:r/>
            <w:r>
              <w:rPr>
                <w:rFonts w:ascii="Aptos" w:hAnsi="Aptos"/>
                <w:b w:val="0"/>
                <w:color w:val="1F2937"/>
                <w:sz w:val="17"/>
              </w:rPr>
              <w:t>Endpoint; unified schema; queueing; effective-date logic; dedup; Gekko/SCC paths; confirmations; rule matrix</w:t>
            </w:r>
          </w:p>
        </w:tc>
      </w:tr>
    </w:tbl>
    <w:p>
      <w:pPr>
        <w:spacing w:after="40"/>
      </w:pPr>
    </w:p>
    <w:p>
      <w:pPr>
        <w:pStyle w:val="Heading1"/>
      </w:pPr>
      <w:r>
        <w:t>1. Purpose and Scope</w:t>
      </w:r>
    </w:p>
    <w:p>
      <w:r>
        <w:t>This document evaluates UPGRADE and PLAN CHANGE functionality by comparing V1 and V2 behavior with the current and target V3 design. It focuses on functional parity, field mapping, downstream integration, validation, concurrency, and multi-country/program extensibility.</w:t>
      </w:r>
    </w:p>
    <w:p>
      <w:pPr>
        <w:pStyle w:val="Heading1"/>
      </w:pPr>
      <w:r>
        <w:t>2. UPGRADE — V1 vs V3</w:t>
      </w:r>
    </w:p>
    <w:p>
      <w:pPr>
        <w:pStyle w:val="Heading2"/>
      </w:pPr>
      <w:r>
        <w:t>2.1 V1 Behavior Summary</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7"/>
              </w:rPr>
              <w:t>Capability</w:t>
            </w:r>
          </w:p>
        </w:tc>
        <w:tc>
          <w:tcPr>
            <w:tcW w:type="dxa" w:w="7776"/>
            <w:shd w:fill="17365D"/>
            <w:vAlign w:val="center"/>
          </w:tcPr>
          <w:p>
            <w:pPr>
              <w:spacing w:after="0"/>
            </w:pPr>
            <w:r/>
            <w:r>
              <w:rPr>
                <w:rFonts w:ascii="Aptos" w:hAnsi="Aptos"/>
                <w:b/>
                <w:color w:val="FFFFFF"/>
                <w:sz w:val="17"/>
              </w:rPr>
              <w:t>V1 Implementation</w:t>
            </w:r>
          </w:p>
        </w:tc>
      </w:tr>
      <w:tr>
        <w:tc>
          <w:tcPr>
            <w:tcW w:type="dxa" w:w="2880"/>
            <w:vAlign w:val="center"/>
          </w:tcPr>
          <w:p>
            <w:pPr>
              <w:spacing w:after="0"/>
            </w:pPr>
            <w:r/>
            <w:r>
              <w:rPr>
                <w:rFonts w:ascii="Aptos" w:hAnsi="Aptos"/>
                <w:b w:val="0"/>
                <w:color w:val="1F2937"/>
                <w:sz w:val="17"/>
              </w:rPr>
              <w:t>Trigger</w:t>
            </w:r>
          </w:p>
        </w:tc>
        <w:tc>
          <w:tcPr>
            <w:tcW w:type="dxa" w:w="7776"/>
            <w:vAlign w:val="center"/>
          </w:tcPr>
          <w:p>
            <w:pPr>
              <w:spacing w:after="0"/>
            </w:pPr>
            <w:r/>
            <w:r>
              <w:rPr>
                <w:rFonts w:ascii="Aptos" w:hAnsi="Aptos"/>
                <w:b w:val="0"/>
                <w:color w:val="1F2937"/>
                <w:sz w:val="17"/>
              </w:rPr>
              <w:t>POST /orders with customerOrderType=UPGRADE</w:t>
            </w:r>
          </w:p>
        </w:tc>
      </w:tr>
      <w:tr>
        <w:tc>
          <w:tcPr>
            <w:tcW w:type="dxa" w:w="2880"/>
            <w:shd w:fill="F4F7FA"/>
            <w:vAlign w:val="center"/>
          </w:tcPr>
          <w:p>
            <w:pPr>
              <w:spacing w:after="0"/>
            </w:pPr>
            <w:r/>
            <w:r>
              <w:rPr>
                <w:rFonts w:ascii="Aptos" w:hAnsi="Aptos"/>
                <w:b w:val="0"/>
                <w:color w:val="1F2937"/>
                <w:sz w:val="17"/>
              </w:rPr>
              <w:t>Old → New linkage</w:t>
            </w:r>
          </w:p>
        </w:tc>
        <w:tc>
          <w:tcPr>
            <w:tcW w:type="dxa" w:w="7776"/>
            <w:shd w:fill="F4F7FA"/>
            <w:vAlign w:val="center"/>
          </w:tcPr>
          <w:p>
            <w:pPr>
              <w:spacing w:after="0"/>
            </w:pPr>
            <w:r/>
            <w:r>
              <w:rPr>
                <w:rFonts w:ascii="Aptos" w:hAnsi="Aptos"/>
                <w:b w:val="0"/>
                <w:color w:val="1F2937"/>
                <w:sz w:val="17"/>
              </w:rPr>
              <w:t>productInfo.additionalItemInfo[parentOrderId] on onbooks_printer item</w:t>
            </w:r>
          </w:p>
        </w:tc>
      </w:tr>
      <w:tr>
        <w:tc>
          <w:tcPr>
            <w:tcW w:type="dxa" w:w="2880"/>
            <w:vAlign w:val="center"/>
          </w:tcPr>
          <w:p>
            <w:pPr>
              <w:spacing w:after="0"/>
            </w:pPr>
            <w:r/>
            <w:r>
              <w:rPr>
                <w:rFonts w:ascii="Aptos" w:hAnsi="Aptos"/>
                <w:b w:val="0"/>
                <w:color w:val="1F2937"/>
                <w:sz w:val="17"/>
              </w:rPr>
              <w:t>Mandatory item</w:t>
            </w:r>
          </w:p>
        </w:tc>
        <w:tc>
          <w:tcPr>
            <w:tcW w:type="dxa" w:w="7776"/>
            <w:vAlign w:val="center"/>
          </w:tcPr>
          <w:p>
            <w:pPr>
              <w:spacing w:after="0"/>
            </w:pPr>
            <w:r/>
            <w:r>
              <w:rPr>
                <w:rFonts w:ascii="Aptos" w:hAnsi="Aptos"/>
                <w:b w:val="0"/>
                <w:color w:val="1F2937"/>
                <w:sz w:val="17"/>
              </w:rPr>
              <w:t>returnShipmentFeeSku must be present</w:t>
            </w:r>
          </w:p>
        </w:tc>
      </w:tr>
      <w:tr>
        <w:tc>
          <w:tcPr>
            <w:tcW w:type="dxa" w:w="2880"/>
            <w:shd w:fill="F4F7FA"/>
            <w:vAlign w:val="center"/>
          </w:tcPr>
          <w:p>
            <w:pPr>
              <w:spacing w:after="0"/>
            </w:pPr>
            <w:r/>
            <w:r>
              <w:rPr>
                <w:rFonts w:ascii="Aptos" w:hAnsi="Aptos"/>
                <w:b w:val="0"/>
                <w:color w:val="1F2937"/>
                <w:sz w:val="17"/>
              </w:rPr>
              <w:t>Old subscription validation</w:t>
            </w:r>
          </w:p>
        </w:tc>
        <w:tc>
          <w:tcPr>
            <w:tcW w:type="dxa" w:w="7776"/>
            <w:shd w:fill="F4F7FA"/>
            <w:vAlign w:val="center"/>
          </w:tcPr>
          <w:p>
            <w:pPr>
              <w:spacing w:after="0"/>
            </w:pPr>
            <w:r/>
            <w:r>
              <w:rPr>
                <w:rFonts w:ascii="Aptos" w:hAnsi="Aptos"/>
                <w:b w:val="0"/>
                <w:color w:val="1F2937"/>
                <w:sz w:val="17"/>
              </w:rPr>
              <w:t>Base subscription for parentOrderId must exist and be ACTIVE</w:t>
            </w:r>
          </w:p>
        </w:tc>
      </w:tr>
      <w:tr>
        <w:tc>
          <w:tcPr>
            <w:tcW w:type="dxa" w:w="2880"/>
            <w:vAlign w:val="center"/>
          </w:tcPr>
          <w:p>
            <w:pPr>
              <w:spacing w:after="0"/>
            </w:pPr>
            <w:r/>
            <w:r>
              <w:rPr>
                <w:rFonts w:ascii="Aptos" w:hAnsi="Aptos"/>
                <w:b w:val="0"/>
                <w:color w:val="1F2937"/>
                <w:sz w:val="17"/>
              </w:rPr>
              <w:t>Overage transition pricing</w:t>
            </w:r>
          </w:p>
        </w:tc>
        <w:tc>
          <w:tcPr>
            <w:tcW w:type="dxa" w:w="7776"/>
            <w:vAlign w:val="center"/>
          </w:tcPr>
          <w:p>
            <w:pPr>
              <w:spacing w:after="0"/>
            </w:pPr>
            <w:r/>
            <w:r>
              <w:rPr>
                <w:rFonts w:ascii="Aptos" w:hAnsi="Aptos"/>
                <w:b w:val="0"/>
                <w:color w:val="1F2937"/>
                <w:sz w:val="17"/>
              </w:rPr>
              <w:t>Lowest of old vs new allocatedRevenue is used for pageSet in month 1</w:t>
            </w:r>
          </w:p>
        </w:tc>
      </w:tr>
      <w:tr>
        <w:tc>
          <w:tcPr>
            <w:tcW w:type="dxa" w:w="2880"/>
            <w:shd w:fill="F4F7FA"/>
            <w:vAlign w:val="center"/>
          </w:tcPr>
          <w:p>
            <w:pPr>
              <w:spacing w:after="0"/>
            </w:pPr>
            <w:r/>
            <w:r>
              <w:rPr>
                <w:rFonts w:ascii="Aptos" w:hAnsi="Aptos"/>
                <w:b w:val="0"/>
                <w:color w:val="1F2937"/>
                <w:sz w:val="17"/>
              </w:rPr>
              <w:t>Hardware proration</w:t>
            </w:r>
          </w:p>
        </w:tc>
        <w:tc>
          <w:tcPr>
            <w:tcW w:type="dxa" w:w="7776"/>
            <w:shd w:fill="F4F7FA"/>
            <w:vAlign w:val="center"/>
          </w:tcPr>
          <w:p>
            <w:pPr>
              <w:spacing w:after="0"/>
            </w:pPr>
            <w:r/>
            <w:r>
              <w:rPr>
                <w:rFonts w:ascii="Aptos" w:hAnsi="Aptos"/>
                <w:b w:val="0"/>
                <w:color w:val="1F2937"/>
                <w:sz w:val="17"/>
              </w:rPr>
              <w:t>UpgradeHWFirstMonthProratedCharges = (leaseAllocatedRevenue / daysInMonth) × activeBillingDays</w:t>
            </w:r>
          </w:p>
        </w:tc>
      </w:tr>
      <w:tr>
        <w:tc>
          <w:tcPr>
            <w:tcW w:type="dxa" w:w="2880"/>
            <w:vAlign w:val="center"/>
          </w:tcPr>
          <w:p>
            <w:pPr>
              <w:spacing w:after="0"/>
            </w:pPr>
            <w:r/>
            <w:r>
              <w:rPr>
                <w:rFonts w:ascii="Aptos" w:hAnsi="Aptos"/>
                <w:b w:val="0"/>
                <w:color w:val="1F2937"/>
                <w:sz w:val="17"/>
              </w:rPr>
              <w:t>Month-2 correction</w:t>
            </w:r>
          </w:p>
        </w:tc>
        <w:tc>
          <w:tcPr>
            <w:tcW w:type="dxa" w:w="7776"/>
            <w:vAlign w:val="center"/>
          </w:tcPr>
          <w:p>
            <w:pPr>
              <w:spacing w:after="0"/>
            </w:pPr>
            <w:r/>
            <w:r>
              <w:rPr>
                <w:rFonts w:ascii="Aptos" w:hAnsi="Aptos"/>
                <w:b w:val="0"/>
                <w:color w:val="1F2937"/>
                <w:sz w:val="17"/>
              </w:rPr>
              <w:t>Scheduled plan change (SCC) is triggered if new overage &gt; old overage</w:t>
            </w:r>
          </w:p>
        </w:tc>
      </w:tr>
      <w:tr>
        <w:tc>
          <w:tcPr>
            <w:tcW w:type="dxa" w:w="2880"/>
            <w:shd w:fill="F4F7FA"/>
            <w:vAlign w:val="center"/>
          </w:tcPr>
          <w:p>
            <w:pPr>
              <w:spacing w:after="0"/>
            </w:pPr>
            <w:r/>
            <w:r>
              <w:rPr>
                <w:rFonts w:ascii="Aptos" w:hAnsi="Aptos"/>
                <w:b w:val="0"/>
                <w:color w:val="1F2937"/>
                <w:sz w:val="17"/>
              </w:rPr>
              <w:t>Old subscription cleanup</w:t>
            </w:r>
          </w:p>
        </w:tc>
        <w:tc>
          <w:tcPr>
            <w:tcW w:type="dxa" w:w="7776"/>
            <w:shd w:fill="F4F7FA"/>
            <w:vAlign w:val="center"/>
          </w:tcPr>
          <w:p>
            <w:pPr>
              <w:spacing w:after="0"/>
            </w:pPr>
            <w:r/>
            <w:r>
              <w:rPr>
                <w:rFonts w:ascii="Aptos" w:hAnsi="Aptos"/>
                <w:b w:val="0"/>
                <w:color w:val="1F2937"/>
                <w:sz w:val="17"/>
              </w:rPr>
              <w:t>Undo overages (BMS), undo pending changes (SCC), then set status to DEACTIVATING</w:t>
            </w:r>
          </w:p>
        </w:tc>
      </w:tr>
      <w:tr>
        <w:tc>
          <w:tcPr>
            <w:tcW w:type="dxa" w:w="2880"/>
            <w:vAlign w:val="center"/>
          </w:tcPr>
          <w:p>
            <w:pPr>
              <w:spacing w:after="0"/>
            </w:pPr>
            <w:r/>
            <w:r>
              <w:rPr>
                <w:rFonts w:ascii="Aptos" w:hAnsi="Aptos"/>
                <w:b w:val="0"/>
                <w:color w:val="1F2937"/>
                <w:sz w:val="17"/>
              </w:rPr>
              <w:t>Idempotency</w:t>
            </w:r>
          </w:p>
        </w:tc>
        <w:tc>
          <w:tcPr>
            <w:tcW w:type="dxa" w:w="7776"/>
            <w:vAlign w:val="center"/>
          </w:tcPr>
          <w:p>
            <w:pPr>
              <w:spacing w:after="0"/>
            </w:pPr>
            <w:r/>
            <w:r>
              <w:rPr>
                <w:rFonts w:ascii="Aptos" w:hAnsi="Aptos"/>
                <w:b w:val="0"/>
                <w:color w:val="1F2937"/>
                <w:sz w:val="17"/>
              </w:rPr>
              <w:t>magentoOrderId</w:t>
            </w:r>
          </w:p>
        </w:tc>
      </w:tr>
    </w:tbl>
    <w:p>
      <w:pPr>
        <w:spacing w:after="40"/>
      </w:pPr>
    </w:p>
    <w:p>
      <w:pPr>
        <w:pStyle w:val="Heading2"/>
      </w:pPr>
      <w:r>
        <w:t>2.2 V3 Current Implementation Status</w:t>
      </w:r>
    </w:p>
    <w:tbl>
      <w:tblPr>
        <w:tblStyle w:val="TableGrid"/>
        <w:tblW w:type="auto" w:w="0"/>
        <w:jc w:val="center"/>
        <w:tblLook w:firstColumn="1" w:firstRow="1" w:lastColumn="0" w:lastRow="0" w:noHBand="0" w:noVBand="1" w:val="04A0"/>
      </w:tblPr>
      <w:tblGrid>
        <w:gridCol w:w="4968"/>
        <w:gridCol w:w="4968"/>
      </w:tblGrid>
      <w:tr>
        <w:tc>
          <w:tcPr>
            <w:tcW w:type="dxa" w:w="3312"/>
            <w:shd w:fill="17365D"/>
            <w:vAlign w:val="center"/>
          </w:tcPr>
          <w:p>
            <w:pPr>
              <w:spacing w:after="0"/>
            </w:pPr>
            <w:r/>
            <w:r>
              <w:rPr>
                <w:rFonts w:ascii="Aptos" w:hAnsi="Aptos"/>
                <w:b/>
                <w:color w:val="FFFFFF"/>
                <w:sz w:val="17"/>
              </w:rPr>
              <w:t>Capability</w:t>
            </w:r>
          </w:p>
        </w:tc>
        <w:tc>
          <w:tcPr>
            <w:tcW w:type="dxa" w:w="7344"/>
            <w:shd w:fill="17365D"/>
            <w:vAlign w:val="center"/>
          </w:tcPr>
          <w:p>
            <w:pPr>
              <w:spacing w:after="0"/>
            </w:pPr>
            <w:r/>
            <w:r>
              <w:rPr>
                <w:rFonts w:ascii="Aptos" w:hAnsi="Aptos"/>
                <w:b/>
                <w:color w:val="FFFFFF"/>
                <w:sz w:val="17"/>
              </w:rPr>
              <w:t>V3 Status</w:t>
            </w:r>
          </w:p>
        </w:tc>
      </w:tr>
      <w:tr>
        <w:tc>
          <w:tcPr>
            <w:tcW w:type="dxa" w:w="3312"/>
            <w:vAlign w:val="center"/>
          </w:tcPr>
          <w:p>
            <w:pPr>
              <w:spacing w:after="0"/>
            </w:pPr>
            <w:r/>
            <w:r>
              <w:rPr>
                <w:rFonts w:ascii="Aptos" w:hAnsi="Aptos"/>
                <w:b w:val="0"/>
                <w:color w:val="1F2937"/>
                <w:sz w:val="17"/>
              </w:rPr>
              <w:t>Trigger</w:t>
            </w:r>
          </w:p>
        </w:tc>
        <w:tc>
          <w:tcPr>
            <w:tcW w:type="dxa" w:w="7344"/>
            <w:vAlign w:val="center"/>
          </w:tcPr>
          <w:p>
            <w:pPr>
              <w:spacing w:after="0"/>
            </w:pPr>
            <w:r/>
            <w:r>
              <w:rPr>
                <w:rFonts w:ascii="Aptos" w:hAnsi="Aptos"/>
                <w:b/>
                <w:color w:val="70AD47"/>
                <w:sz w:val="17"/>
              </w:rPr>
              <w:t>✅ Implemented — POST /v3/orders with orderType=UPGRADE</w:t>
            </w:r>
          </w:p>
        </w:tc>
      </w:tr>
      <w:tr>
        <w:tc>
          <w:tcPr>
            <w:tcW w:type="dxa" w:w="3312"/>
            <w:shd w:fill="F4F7FA"/>
            <w:vAlign w:val="center"/>
          </w:tcPr>
          <w:p>
            <w:pPr>
              <w:spacing w:after="0"/>
            </w:pPr>
            <w:r/>
            <w:r>
              <w:rPr>
                <w:rFonts w:ascii="Aptos" w:hAnsi="Aptos"/>
                <w:b w:val="0"/>
                <w:color w:val="1F2937"/>
                <w:sz w:val="17"/>
              </w:rPr>
              <w:t>Old → New linkage</w:t>
            </w:r>
          </w:p>
        </w:tc>
        <w:tc>
          <w:tcPr>
            <w:tcW w:type="dxa" w:w="7344"/>
            <w:shd w:fill="F4F7FA"/>
            <w:vAlign w:val="center"/>
          </w:tcPr>
          <w:p>
            <w:pPr>
              <w:spacing w:after="0"/>
            </w:pPr>
            <w:r/>
            <w:r>
              <w:rPr>
                <w:rFonts w:ascii="Aptos" w:hAnsi="Aptos"/>
                <w:b/>
                <w:color w:val="70AD47"/>
                <w:sz w:val="17"/>
              </w:rPr>
              <w:t>✅ Implemented — item.additionalItemInfo[parentOrderId]</w:t>
            </w:r>
          </w:p>
        </w:tc>
      </w:tr>
      <w:tr>
        <w:tc>
          <w:tcPr>
            <w:tcW w:type="dxa" w:w="3312"/>
            <w:vAlign w:val="center"/>
          </w:tcPr>
          <w:p>
            <w:pPr>
              <w:spacing w:after="0"/>
            </w:pPr>
            <w:r/>
            <w:r>
              <w:rPr>
                <w:rFonts w:ascii="Aptos" w:hAnsi="Aptos"/>
                <w:b w:val="0"/>
                <w:color w:val="1F2937"/>
                <w:sz w:val="17"/>
              </w:rPr>
              <w:t>Mandatory item</w:t>
            </w:r>
          </w:p>
        </w:tc>
        <w:tc>
          <w:tcPr>
            <w:tcW w:type="dxa" w:w="7344"/>
            <w:vAlign w:val="center"/>
          </w:tcPr>
          <w:p>
            <w:pPr>
              <w:spacing w:after="0"/>
            </w:pPr>
            <w:r/>
            <w:r>
              <w:rPr>
                <w:rFonts w:ascii="Aptos" w:hAnsi="Aptos"/>
                <w:b/>
                <w:color w:val="70AD47"/>
                <w:sz w:val="17"/>
              </w:rPr>
              <w:t>✅ Implemented — returnShipmentFeeSku validation</w:t>
            </w:r>
          </w:p>
        </w:tc>
      </w:tr>
      <w:tr>
        <w:tc>
          <w:tcPr>
            <w:tcW w:type="dxa" w:w="3312"/>
            <w:shd w:fill="F4F7FA"/>
            <w:vAlign w:val="center"/>
          </w:tcPr>
          <w:p>
            <w:pPr>
              <w:spacing w:after="0"/>
            </w:pPr>
            <w:r/>
            <w:r>
              <w:rPr>
                <w:rFonts w:ascii="Aptos" w:hAnsi="Aptos"/>
                <w:b w:val="0"/>
                <w:color w:val="1F2937"/>
                <w:sz w:val="17"/>
              </w:rPr>
              <w:t>Old subscription validation</w:t>
            </w:r>
          </w:p>
        </w:tc>
        <w:tc>
          <w:tcPr>
            <w:tcW w:type="dxa" w:w="7344"/>
            <w:shd w:fill="F4F7FA"/>
            <w:vAlign w:val="center"/>
          </w:tcPr>
          <w:p>
            <w:pPr>
              <w:spacing w:after="0"/>
            </w:pPr>
            <w:r/>
            <w:r>
              <w:rPr>
                <w:rFonts w:ascii="Aptos" w:hAnsi="Aptos"/>
                <w:b/>
                <w:color w:val="70AD47"/>
                <w:sz w:val="17"/>
              </w:rPr>
              <w:t>✅ Implemented — SubscriptionDaoV3; BASE + ACTIVE</w:t>
            </w:r>
          </w:p>
        </w:tc>
      </w:tr>
      <w:tr>
        <w:tc>
          <w:tcPr>
            <w:tcW w:type="dxa" w:w="3312"/>
            <w:vAlign w:val="center"/>
          </w:tcPr>
          <w:p>
            <w:pPr>
              <w:spacing w:after="0"/>
            </w:pPr>
            <w:r/>
            <w:r>
              <w:rPr>
                <w:rFonts w:ascii="Aptos" w:hAnsi="Aptos"/>
                <w:b w:val="0"/>
                <w:color w:val="1F2937"/>
                <w:sz w:val="17"/>
              </w:rPr>
              <w:t>Overage transition pricing</w:t>
            </w:r>
          </w:p>
        </w:tc>
        <w:tc>
          <w:tcPr>
            <w:tcW w:type="dxa" w:w="7344"/>
            <w:vAlign w:val="center"/>
          </w:tcPr>
          <w:p>
            <w:pPr>
              <w:spacing w:after="0"/>
            </w:pPr>
            <w:r/>
            <w:r>
              <w:rPr>
                <w:rFonts w:ascii="Aptos" w:hAnsi="Aptos"/>
                <w:b/>
                <w:color w:val="C00000"/>
                <w:sz w:val="17"/>
              </w:rPr>
              <w:t>❌ Missing — no equivalent of computeAllocatedRevenue for pageSet</w:t>
            </w:r>
          </w:p>
        </w:tc>
      </w:tr>
      <w:tr>
        <w:tc>
          <w:tcPr>
            <w:tcW w:type="dxa" w:w="3312"/>
            <w:shd w:fill="F4F7FA"/>
            <w:vAlign w:val="center"/>
          </w:tcPr>
          <w:p>
            <w:pPr>
              <w:spacing w:after="0"/>
            </w:pPr>
            <w:r/>
            <w:r>
              <w:rPr>
                <w:rFonts w:ascii="Aptos" w:hAnsi="Aptos"/>
                <w:b w:val="0"/>
                <w:color w:val="1F2937"/>
                <w:sz w:val="17"/>
              </w:rPr>
              <w:t>Hardware proration</w:t>
            </w:r>
          </w:p>
        </w:tc>
        <w:tc>
          <w:tcPr>
            <w:tcW w:type="dxa" w:w="7344"/>
            <w:shd w:fill="F4F7FA"/>
            <w:vAlign w:val="center"/>
          </w:tcPr>
          <w:p>
            <w:pPr>
              <w:spacing w:after="0"/>
            </w:pPr>
            <w:r/>
            <w:r>
              <w:rPr>
                <w:rFonts w:ascii="Aptos" w:hAnsi="Aptos"/>
                <w:b/>
                <w:color w:val="70AD47"/>
                <w:sz w:val="17"/>
              </w:rPr>
              <w:t>✅ Implemented — calculateAndSetUpgradeHWFirstMonthProratedCharges</w:t>
            </w:r>
          </w:p>
        </w:tc>
      </w:tr>
      <w:tr>
        <w:tc>
          <w:tcPr>
            <w:tcW w:type="dxa" w:w="3312"/>
            <w:vAlign w:val="center"/>
          </w:tcPr>
          <w:p>
            <w:pPr>
              <w:spacing w:after="0"/>
            </w:pPr>
            <w:r/>
            <w:r>
              <w:rPr>
                <w:rFonts w:ascii="Aptos" w:hAnsi="Aptos"/>
                <w:b w:val="0"/>
                <w:color w:val="1F2937"/>
                <w:sz w:val="17"/>
              </w:rPr>
              <w:t>Month-2 scheduled correction</w:t>
            </w:r>
          </w:p>
        </w:tc>
        <w:tc>
          <w:tcPr>
            <w:tcW w:type="dxa" w:w="7344"/>
            <w:vAlign w:val="center"/>
          </w:tcPr>
          <w:p>
            <w:pPr>
              <w:spacing w:after="0"/>
            </w:pPr>
            <w:r/>
            <w:r>
              <w:rPr>
                <w:rFonts w:ascii="Aptos" w:hAnsi="Aptos"/>
                <w:b/>
                <w:color w:val="C00000"/>
                <w:sz w:val="17"/>
              </w:rPr>
              <w:t>❌ Missing</w:t>
            </w:r>
          </w:p>
        </w:tc>
      </w:tr>
      <w:tr>
        <w:tc>
          <w:tcPr>
            <w:tcW w:type="dxa" w:w="3312"/>
            <w:shd w:fill="F4F7FA"/>
            <w:vAlign w:val="center"/>
          </w:tcPr>
          <w:p>
            <w:pPr>
              <w:spacing w:after="0"/>
            </w:pPr>
            <w:r/>
            <w:r>
              <w:rPr>
                <w:rFonts w:ascii="Aptos" w:hAnsi="Aptos"/>
                <w:b w:val="0"/>
                <w:color w:val="1F2937"/>
                <w:sz w:val="17"/>
              </w:rPr>
              <w:t>Old subscription cleanup</w:t>
            </w:r>
          </w:p>
        </w:tc>
        <w:tc>
          <w:tcPr>
            <w:tcW w:type="dxa" w:w="7344"/>
            <w:shd w:fill="F4F7FA"/>
            <w:vAlign w:val="center"/>
          </w:tcPr>
          <w:p>
            <w:pPr>
              <w:spacing w:after="0"/>
            </w:pPr>
            <w:r/>
            <w:r>
              <w:rPr>
                <w:rFonts w:ascii="Aptos" w:hAnsi="Aptos"/>
                <w:b/>
                <w:color w:val="C00000"/>
                <w:sz w:val="17"/>
              </w:rPr>
              <w:t>❌ Missing — no processAcceptedUpgradeOrder equivalent</w:t>
            </w:r>
          </w:p>
        </w:tc>
      </w:tr>
      <w:tr>
        <w:tc>
          <w:tcPr>
            <w:tcW w:type="dxa" w:w="3312"/>
            <w:vAlign w:val="center"/>
          </w:tcPr>
          <w:p>
            <w:pPr>
              <w:spacing w:after="0"/>
            </w:pPr>
            <w:r/>
            <w:r>
              <w:rPr>
                <w:rFonts w:ascii="Aptos" w:hAnsi="Aptos"/>
                <w:b w:val="0"/>
                <w:color w:val="1F2937"/>
                <w:sz w:val="17"/>
              </w:rPr>
              <w:t>Idempotency</w:t>
            </w:r>
          </w:p>
        </w:tc>
        <w:tc>
          <w:tcPr>
            <w:tcW w:type="dxa" w:w="7344"/>
            <w:vAlign w:val="center"/>
          </w:tcPr>
          <w:p>
            <w:pPr>
              <w:spacing w:after="0"/>
            </w:pPr>
            <w:r/>
            <w:r>
              <w:rPr>
                <w:rFonts w:ascii="Aptos" w:hAnsi="Aptos"/>
                <w:b/>
                <w:color w:val="70AD47"/>
                <w:sz w:val="17"/>
              </w:rPr>
              <w:t>✅ Implemented — orderReferenceId</w:t>
            </w:r>
          </w:p>
        </w:tc>
      </w:tr>
    </w:tbl>
    <w:p>
      <w:pPr>
        <w:spacing w:after="40"/>
      </w:pPr>
    </w:p>
    <w:p>
      <w:pPr>
        <w:pStyle w:val="Heading2"/>
      </w:pPr>
      <w:r>
        <w:t>2.3 Upgrade Field Mapping</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7365D"/>
            <w:vAlign w:val="center"/>
          </w:tcPr>
          <w:p>
            <w:pPr>
              <w:spacing w:after="0"/>
            </w:pPr>
            <w:r/>
            <w:r>
              <w:rPr>
                <w:rFonts w:ascii="Aptos" w:hAnsi="Aptos"/>
                <w:b/>
                <w:color w:val="FFFFFF"/>
                <w:sz w:val="17"/>
              </w:rPr>
              <w:t>V1 Field</w:t>
            </w:r>
          </w:p>
        </w:tc>
        <w:tc>
          <w:tcPr>
            <w:tcW w:type="dxa" w:w="3744"/>
            <w:shd w:fill="17365D"/>
            <w:vAlign w:val="center"/>
          </w:tcPr>
          <w:p>
            <w:pPr>
              <w:spacing w:after="0"/>
            </w:pPr>
            <w:r/>
            <w:r>
              <w:rPr>
                <w:rFonts w:ascii="Aptos" w:hAnsi="Aptos"/>
                <w:b/>
                <w:color w:val="FFFFFF"/>
                <w:sz w:val="17"/>
              </w:rPr>
              <w:t>V3 Field</w:t>
            </w:r>
          </w:p>
        </w:tc>
        <w:tc>
          <w:tcPr>
            <w:tcW w:type="dxa" w:w="4032"/>
            <w:shd w:fill="17365D"/>
            <w:vAlign w:val="center"/>
          </w:tcPr>
          <w:p>
            <w:pPr>
              <w:spacing w:after="0"/>
            </w:pPr>
            <w:r/>
            <w:r>
              <w:rPr>
                <w:rFonts w:ascii="Aptos" w:hAnsi="Aptos"/>
                <w:b/>
                <w:color w:val="FFFFFF"/>
                <w:sz w:val="17"/>
              </w:rPr>
              <w:t>Notes</w:t>
            </w:r>
          </w:p>
        </w:tc>
      </w:tr>
      <w:tr>
        <w:tc>
          <w:tcPr>
            <w:tcW w:type="dxa" w:w="2880"/>
            <w:vAlign w:val="center"/>
          </w:tcPr>
          <w:p>
            <w:pPr>
              <w:spacing w:after="0"/>
            </w:pPr>
            <w:r/>
            <w:r>
              <w:rPr>
                <w:rFonts w:ascii="Aptos" w:hAnsi="Aptos"/>
                <w:b w:val="0"/>
                <w:color w:val="1F2937"/>
                <w:sz w:val="17"/>
              </w:rPr>
              <w:t>magentoOrderId</w:t>
            </w:r>
          </w:p>
        </w:tc>
        <w:tc>
          <w:tcPr>
            <w:tcW w:type="dxa" w:w="3744"/>
            <w:vAlign w:val="center"/>
          </w:tcPr>
          <w:p>
            <w:pPr>
              <w:spacing w:after="0"/>
            </w:pPr>
            <w:r/>
            <w:r>
              <w:rPr>
                <w:rFonts w:ascii="Aptos" w:hAnsi="Aptos"/>
                <w:b w:val="0"/>
                <w:color w:val="1F2937"/>
                <w:sz w:val="17"/>
              </w:rPr>
              <w:t>orderReferenceId</w:t>
            </w:r>
          </w:p>
        </w:tc>
        <w:tc>
          <w:tcPr>
            <w:tcW w:type="dxa" w:w="4032"/>
            <w:vAlign w:val="center"/>
          </w:tcPr>
          <w:p>
            <w:pPr>
              <w:spacing w:after="0"/>
            </w:pPr>
            <w:r/>
            <w:r>
              <w:rPr>
                <w:rFonts w:ascii="Aptos" w:hAnsi="Aptos"/>
                <w:b w:val="0"/>
                <w:color w:val="1F2937"/>
                <w:sz w:val="17"/>
              </w:rPr>
              <w:t>Alphanumeric, cross-program key</w:t>
            </w:r>
          </w:p>
        </w:tc>
      </w:tr>
      <w:tr>
        <w:tc>
          <w:tcPr>
            <w:tcW w:type="dxa" w:w="2880"/>
            <w:shd w:fill="F4F7FA"/>
            <w:vAlign w:val="center"/>
          </w:tcPr>
          <w:p>
            <w:pPr>
              <w:spacing w:after="0"/>
            </w:pPr>
            <w:r/>
            <w:r>
              <w:rPr>
                <w:rFonts w:ascii="Aptos" w:hAnsi="Aptos"/>
                <w:b w:val="0"/>
                <w:color w:val="1F2937"/>
                <w:sz w:val="17"/>
              </w:rPr>
              <w:t>customerOrderType</w:t>
            </w:r>
          </w:p>
        </w:tc>
        <w:tc>
          <w:tcPr>
            <w:tcW w:type="dxa" w:w="3744"/>
            <w:shd w:fill="F4F7FA"/>
            <w:vAlign w:val="center"/>
          </w:tcPr>
          <w:p>
            <w:pPr>
              <w:spacing w:after="0"/>
            </w:pPr>
            <w:r/>
            <w:r>
              <w:rPr>
                <w:rFonts w:ascii="Aptos" w:hAnsi="Aptos"/>
                <w:b w:val="0"/>
                <w:color w:val="1F2937"/>
                <w:sz w:val="17"/>
              </w:rPr>
              <w:t>orderType</w:t>
            </w:r>
          </w:p>
        </w:tc>
        <w:tc>
          <w:tcPr>
            <w:tcW w:type="dxa" w:w="4032"/>
            <w:shd w:fill="F4F7FA"/>
            <w:vAlign w:val="center"/>
          </w:tcPr>
          <w:p>
            <w:pPr>
              <w:spacing w:after="0"/>
            </w:pPr>
            <w:r/>
            <w:r>
              <w:rPr>
                <w:rFonts w:ascii="Aptos" w:hAnsi="Aptos"/>
                <w:b w:val="0"/>
                <w:color w:val="1F2937"/>
                <w:sz w:val="17"/>
              </w:rPr>
              <w:t>Same enum concept</w:t>
            </w:r>
          </w:p>
        </w:tc>
      </w:tr>
      <w:tr>
        <w:tc>
          <w:tcPr>
            <w:tcW w:type="dxa" w:w="2880"/>
            <w:vAlign w:val="center"/>
          </w:tcPr>
          <w:p>
            <w:pPr>
              <w:spacing w:after="0"/>
            </w:pPr>
            <w:r/>
            <w:r>
              <w:rPr>
                <w:rFonts w:ascii="Aptos" w:hAnsi="Aptos"/>
                <w:b w:val="0"/>
                <w:color w:val="1F2937"/>
                <w:sz w:val="17"/>
              </w:rPr>
              <w:t>productInfo.additionalItemInfo</w:t>
            </w:r>
          </w:p>
        </w:tc>
        <w:tc>
          <w:tcPr>
            <w:tcW w:type="dxa" w:w="3744"/>
            <w:vAlign w:val="center"/>
          </w:tcPr>
          <w:p>
            <w:pPr>
              <w:spacing w:after="0"/>
            </w:pPr>
            <w:r/>
            <w:r>
              <w:rPr>
                <w:rFonts w:ascii="Aptos" w:hAnsi="Aptos"/>
                <w:b w:val="0"/>
                <w:color w:val="1F2937"/>
                <w:sz w:val="17"/>
              </w:rPr>
              <w:t>item.additionalItemInfo</w:t>
            </w:r>
          </w:p>
        </w:tc>
        <w:tc>
          <w:tcPr>
            <w:tcW w:type="dxa" w:w="4032"/>
            <w:vAlign w:val="center"/>
          </w:tcPr>
          <w:p>
            <w:pPr>
              <w:spacing w:after="0"/>
            </w:pPr>
            <w:r/>
            <w:r>
              <w:rPr>
                <w:rFonts w:ascii="Aptos" w:hAnsi="Aptos"/>
                <w:b w:val="0"/>
                <w:color w:val="1F2937"/>
                <w:sz w:val="17"/>
              </w:rPr>
              <w:t>List → Map structure</w:t>
            </w:r>
          </w:p>
        </w:tc>
      </w:tr>
      <w:tr>
        <w:tc>
          <w:tcPr>
            <w:tcW w:type="dxa" w:w="2880"/>
            <w:shd w:fill="F4F7FA"/>
            <w:vAlign w:val="center"/>
          </w:tcPr>
          <w:p>
            <w:pPr>
              <w:spacing w:after="0"/>
            </w:pPr>
            <w:r/>
            <w:r>
              <w:rPr>
                <w:rFonts w:ascii="Aptos" w:hAnsi="Aptos"/>
                <w:b w:val="0"/>
                <w:color w:val="1F2937"/>
                <w:sz w:val="17"/>
              </w:rPr>
              <w:t>parentOrderId</w:t>
            </w:r>
          </w:p>
        </w:tc>
        <w:tc>
          <w:tcPr>
            <w:tcW w:type="dxa" w:w="3744"/>
            <w:shd w:fill="F4F7FA"/>
            <w:vAlign w:val="center"/>
          </w:tcPr>
          <w:p>
            <w:pPr>
              <w:spacing w:after="0"/>
            </w:pPr>
            <w:r/>
            <w:r>
              <w:rPr>
                <w:rFonts w:ascii="Aptos" w:hAnsi="Aptos"/>
                <w:b w:val="0"/>
                <w:color w:val="1F2937"/>
                <w:sz w:val="17"/>
              </w:rPr>
              <w:t>item.additionalItemInfo.parentOrderId + metadata.parentOrderId</w:t>
            </w:r>
          </w:p>
        </w:tc>
        <w:tc>
          <w:tcPr>
            <w:tcW w:type="dxa" w:w="4032"/>
            <w:shd w:fill="F4F7FA"/>
            <w:vAlign w:val="center"/>
          </w:tcPr>
          <w:p>
            <w:pPr>
              <w:spacing w:after="0"/>
            </w:pPr>
            <w:r/>
            <w:r>
              <w:rPr>
                <w:rFonts w:ascii="Aptos" w:hAnsi="Aptos"/>
                <w:b w:val="0"/>
                <w:color w:val="1F2937"/>
                <w:sz w:val="17"/>
              </w:rPr>
              <w:t>V3 currently has two locations; a single source of truth is needed</w:t>
            </w:r>
          </w:p>
        </w:tc>
      </w:tr>
      <w:tr>
        <w:tc>
          <w:tcPr>
            <w:tcW w:type="dxa" w:w="2880"/>
            <w:vAlign w:val="center"/>
          </w:tcPr>
          <w:p>
            <w:pPr>
              <w:spacing w:after="0"/>
            </w:pPr>
            <w:r/>
            <w:r>
              <w:rPr>
                <w:rFonts w:ascii="Aptos" w:hAnsi="Aptos"/>
                <w:b w:val="0"/>
                <w:color w:val="1F2937"/>
                <w:sz w:val="17"/>
              </w:rPr>
              <w:t>productInfo.allocatedRevenue</w:t>
            </w:r>
          </w:p>
        </w:tc>
        <w:tc>
          <w:tcPr>
            <w:tcW w:type="dxa" w:w="3744"/>
            <w:vAlign w:val="center"/>
          </w:tcPr>
          <w:p>
            <w:pPr>
              <w:spacing w:after="0"/>
            </w:pPr>
            <w:r/>
            <w:r>
              <w:rPr>
                <w:rFonts w:ascii="Aptos" w:hAnsi="Aptos"/>
                <w:b w:val="0"/>
                <w:color w:val="1F2937"/>
                <w:sz w:val="17"/>
              </w:rPr>
              <w:t>item.pricing.adjustments[type=ALLOCATED_REVENUE].amount</w:t>
            </w:r>
          </w:p>
        </w:tc>
        <w:tc>
          <w:tcPr>
            <w:tcW w:type="dxa" w:w="4032"/>
            <w:vAlign w:val="center"/>
          </w:tcPr>
          <w:p>
            <w:pPr>
              <w:spacing w:after="0"/>
            </w:pPr>
            <w:r/>
            <w:r>
              <w:rPr>
                <w:rFonts w:ascii="Aptos" w:hAnsi="Aptos"/>
                <w:b w:val="0"/>
                <w:color w:val="1F2937"/>
                <w:sz w:val="17"/>
              </w:rPr>
              <w:t>Flat field moved into adjustments array</w:t>
            </w:r>
          </w:p>
        </w:tc>
      </w:tr>
      <w:tr>
        <w:tc>
          <w:tcPr>
            <w:tcW w:type="dxa" w:w="2880"/>
            <w:shd w:fill="F4F7FA"/>
            <w:vAlign w:val="center"/>
          </w:tcPr>
          <w:p>
            <w:pPr>
              <w:spacing w:after="0"/>
            </w:pPr>
            <w:r/>
            <w:r>
              <w:rPr>
                <w:rFonts w:ascii="Aptos" w:hAnsi="Aptos"/>
                <w:b w:val="0"/>
                <w:color w:val="1F2937"/>
                <w:sz w:val="17"/>
              </w:rPr>
              <w:t>chargeInfo.upgradeHWFirstMonthProratedCharges</w:t>
            </w:r>
          </w:p>
        </w:tc>
        <w:tc>
          <w:tcPr>
            <w:tcW w:type="dxa" w:w="3744"/>
            <w:shd w:fill="F4F7FA"/>
            <w:vAlign w:val="center"/>
          </w:tcPr>
          <w:p>
            <w:pPr>
              <w:spacing w:after="0"/>
            </w:pPr>
            <w:r/>
            <w:r>
              <w:rPr>
                <w:rFonts w:ascii="Aptos" w:hAnsi="Aptos"/>
                <w:b w:val="0"/>
                <w:color w:val="1F2937"/>
                <w:sz w:val="17"/>
              </w:rPr>
              <w:t>pricing.upgradeHWFirstMonthProratedCharges</w:t>
            </w:r>
          </w:p>
        </w:tc>
        <w:tc>
          <w:tcPr>
            <w:tcW w:type="dxa" w:w="4032"/>
            <w:shd w:fill="F4F7FA"/>
            <w:vAlign w:val="center"/>
          </w:tcPr>
          <w:p>
            <w:pPr>
              <w:spacing w:after="0"/>
            </w:pPr>
            <w:r/>
            <w:r>
              <w:rPr>
                <w:rFonts w:ascii="Aptos" w:hAnsi="Aptos"/>
                <w:b w:val="0"/>
                <w:color w:val="1F2937"/>
                <w:sz w:val="17"/>
              </w:rPr>
              <w:t>Same concept, new location</w:t>
            </w:r>
          </w:p>
        </w:tc>
      </w:tr>
      <w:tr>
        <w:tc>
          <w:tcPr>
            <w:tcW w:type="dxa" w:w="2880"/>
            <w:vAlign w:val="center"/>
          </w:tcPr>
          <w:p>
            <w:pPr>
              <w:spacing w:after="0"/>
            </w:pPr>
            <w:r/>
            <w:r>
              <w:rPr>
                <w:rFonts w:ascii="Aptos" w:hAnsi="Aptos"/>
                <w:b w:val="0"/>
                <w:color w:val="1F2937"/>
                <w:sz w:val="17"/>
              </w:rPr>
              <w:t>N/A</w:t>
            </w:r>
          </w:p>
        </w:tc>
        <w:tc>
          <w:tcPr>
            <w:tcW w:type="dxa" w:w="3744"/>
            <w:vAlign w:val="center"/>
          </w:tcPr>
          <w:p>
            <w:pPr>
              <w:spacing w:after="0"/>
            </w:pPr>
            <w:r/>
            <w:r>
              <w:rPr>
                <w:rFonts w:ascii="Aptos" w:hAnsi="Aptos"/>
                <w:b w:val="0"/>
                <w:color w:val="1F2937"/>
                <w:sz w:val="17"/>
              </w:rPr>
              <w:t>metadata.businessContext</w:t>
            </w:r>
          </w:p>
        </w:tc>
        <w:tc>
          <w:tcPr>
            <w:tcW w:type="dxa" w:w="4032"/>
            <w:vAlign w:val="center"/>
          </w:tcPr>
          <w:p>
            <w:pPr>
              <w:spacing w:after="0"/>
            </w:pPr>
            <w:r/>
            <w:r>
              <w:rPr>
                <w:rFonts w:ascii="Aptos" w:hAnsi="Aptos"/>
                <w:b w:val="0"/>
                <w:color w:val="1F2937"/>
                <w:sz w:val="17"/>
              </w:rPr>
              <w:t>New required field; drives program-specific validation</w:t>
            </w:r>
          </w:p>
        </w:tc>
      </w:tr>
      <w:tr>
        <w:tc>
          <w:tcPr>
            <w:tcW w:type="dxa" w:w="2880"/>
            <w:shd w:fill="F4F7FA"/>
            <w:vAlign w:val="center"/>
          </w:tcPr>
          <w:p>
            <w:pPr>
              <w:spacing w:after="0"/>
            </w:pPr>
            <w:r/>
            <w:r>
              <w:rPr>
                <w:rFonts w:ascii="Aptos" w:hAnsi="Aptos"/>
                <w:b w:val="0"/>
                <w:color w:val="1F2937"/>
                <w:sz w:val="17"/>
              </w:rPr>
              <w:t>Implicit country</w:t>
            </w:r>
          </w:p>
        </w:tc>
        <w:tc>
          <w:tcPr>
            <w:tcW w:type="dxa" w:w="3744"/>
            <w:shd w:fill="F4F7FA"/>
            <w:vAlign w:val="center"/>
          </w:tcPr>
          <w:p>
            <w:pPr>
              <w:spacing w:after="0"/>
            </w:pPr>
            <w:r/>
            <w:r>
              <w:rPr>
                <w:rFonts w:ascii="Aptos" w:hAnsi="Aptos"/>
                <w:b w:val="0"/>
                <w:color w:val="1F2937"/>
                <w:sz w:val="17"/>
              </w:rPr>
              <w:t>country</w:t>
            </w:r>
          </w:p>
        </w:tc>
        <w:tc>
          <w:tcPr>
            <w:tcW w:type="dxa" w:w="4032"/>
            <w:shd w:fill="F4F7FA"/>
            <w:vAlign w:val="center"/>
          </w:tcPr>
          <w:p>
            <w:pPr>
              <w:spacing w:after="0"/>
            </w:pPr>
            <w:r/>
            <w:r>
              <w:rPr>
                <w:rFonts w:ascii="Aptos" w:hAnsi="Aptos"/>
                <w:b w:val="0"/>
                <w:color w:val="1F2937"/>
                <w:sz w:val="17"/>
              </w:rPr>
              <w:t>Explicit ISO alpha-2 country; V3 supports multiple HP markets</w:t>
            </w:r>
          </w:p>
        </w:tc>
      </w:tr>
    </w:tbl>
    <w:p>
      <w:pPr>
        <w:spacing w:after="40"/>
      </w:pPr>
    </w:p>
    <w:p>
      <w:pPr>
        <w:pStyle w:val="Heading2"/>
      </w:pPr>
      <w:r>
        <w:t>2.4 Gekko Order Processing Validation Matrix</w:t>
      </w:r>
    </w:p>
    <w:p>
      <w:pPr>
        <w:spacing w:after="120"/>
      </w:pPr>
      <w:r>
        <w:t>The following 17 validation points capture the Gekko order-processing checks relevant to the UPGRADE flow, including order type, upgrade items, contract terms, parent-order linkage, cancellation SKU, address requirements, item-ID/CAS mapping, and decimal precision.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504"/>
            <w:shd w:fill="17365D"/>
            <w:vAlign w:val="center"/>
          </w:tcPr>
          <w:p>
            <w:pPr>
              <w:spacing w:after="0"/>
            </w:pPr>
            <w:r/>
            <w:r>
              <w:rPr>
                <w:rFonts w:ascii="Aptos" w:hAnsi="Aptos"/>
                <w:b/>
                <w:color w:val="FFFFFF"/>
                <w:sz w:val="14"/>
              </w:rPr>
              <w:t>#</w:t>
            </w:r>
          </w:p>
        </w:tc>
        <w:tc>
          <w:tcPr>
            <w:tcW w:type="dxa" w:w="2232"/>
            <w:shd w:fill="17365D"/>
            <w:vAlign w:val="center"/>
          </w:tcPr>
          <w:p>
            <w:pPr>
              <w:spacing w:after="0"/>
            </w:pPr>
            <w:r/>
            <w:r>
              <w:rPr>
                <w:rFonts w:ascii="Aptos" w:hAnsi="Aptos"/>
                <w:b/>
                <w:color w:val="FFFFFF"/>
                <w:sz w:val="14"/>
              </w:rPr>
              <w:t>Method</w:t>
            </w:r>
          </w:p>
        </w:tc>
        <w:tc>
          <w:tcPr>
            <w:tcW w:type="dxa" w:w="936"/>
            <w:shd w:fill="17365D"/>
            <w:vAlign w:val="center"/>
          </w:tcPr>
          <w:p>
            <w:pPr>
              <w:spacing w:after="0"/>
            </w:pPr>
            <w:r/>
            <w:r>
              <w:rPr>
                <w:rFonts w:ascii="Aptos" w:hAnsi="Aptos"/>
                <w:b/>
                <w:color w:val="FFFFFF"/>
                <w:sz w:val="14"/>
              </w:rPr>
              <w:t>Lines</w:t>
            </w:r>
          </w:p>
        </w:tc>
        <w:tc>
          <w:tcPr>
            <w:tcW w:type="dxa" w:w="2376"/>
            <w:shd w:fill="17365D"/>
            <w:vAlign w:val="center"/>
          </w:tcPr>
          <w:p>
            <w:pPr>
              <w:spacing w:after="0"/>
            </w:pPr>
            <w:r/>
            <w:r>
              <w:rPr>
                <w:rFonts w:ascii="Aptos" w:hAnsi="Aptos"/>
                <w:b/>
                <w:color w:val="FFFFFF"/>
                <w:sz w:val="14"/>
              </w:rPr>
              <w:t>Validation</w:t>
            </w:r>
          </w:p>
        </w:tc>
        <w:tc>
          <w:tcPr>
            <w:tcW w:type="dxa" w:w="4608"/>
            <w:shd w:fill="17365D"/>
            <w:vAlign w:val="center"/>
          </w:tcPr>
          <w:p>
            <w:pPr>
              <w:spacing w:after="0"/>
            </w:pPr>
            <w:r/>
            <w:r>
              <w:rPr>
                <w:rFonts w:ascii="Aptos" w:hAnsi="Aptos"/>
                <w:b/>
                <w:color w:val="FFFFFF"/>
                <w:sz w:val="14"/>
              </w:rPr>
              <w:t>Details / Description</w:t>
            </w:r>
          </w:p>
        </w:tc>
      </w:tr>
      <w:tr>
        <w:tc>
          <w:tcPr>
            <w:tcW w:type="dxa" w:w="504"/>
            <w:vAlign w:val="center"/>
          </w:tcPr>
          <w:p>
            <w:pPr>
              <w:spacing w:after="0"/>
            </w:pPr>
            <w:r/>
            <w:r>
              <w:rPr>
                <w:rFonts w:ascii="Aptos" w:hAnsi="Aptos"/>
                <w:b w:val="0"/>
                <w:color w:val="1F2937"/>
                <w:sz w:val="14"/>
              </w:rPr>
              <w:t>1</w:t>
            </w:r>
          </w:p>
        </w:tc>
        <w:tc>
          <w:tcPr>
            <w:tcW w:type="dxa" w:w="2232"/>
            <w:vAlign w:val="center"/>
          </w:tcPr>
          <w:p>
            <w:pPr>
              <w:spacing w:after="0"/>
            </w:pPr>
            <w:r/>
            <w:r>
              <w:rPr>
                <w:rFonts w:ascii="Aptos" w:hAnsi="Aptos"/>
                <w:b w:val="0"/>
                <w:color w:val="1F2937"/>
                <w:sz w:val="14"/>
              </w:rPr>
              <w:t>inputValidation()</w:t>
            </w:r>
          </w:p>
        </w:tc>
        <w:tc>
          <w:tcPr>
            <w:tcW w:type="dxa" w:w="936"/>
            <w:vAlign w:val="center"/>
          </w:tcPr>
          <w:p>
            <w:pPr>
              <w:spacing w:after="0"/>
            </w:pPr>
            <w:r/>
            <w:r>
              <w:rPr>
                <w:rFonts w:ascii="Aptos" w:hAnsi="Aptos"/>
                <w:b w:val="0"/>
                <w:color w:val="1F2937"/>
                <w:sz w:val="14"/>
              </w:rPr>
              <w:t>73–88</w:t>
            </w:r>
          </w:p>
        </w:tc>
        <w:tc>
          <w:tcPr>
            <w:tcW w:type="dxa" w:w="2376"/>
            <w:vAlign w:val="center"/>
          </w:tcPr>
          <w:p>
            <w:pPr>
              <w:spacing w:after="0"/>
            </w:pPr>
            <w:r/>
            <w:r>
              <w:rPr>
                <w:rFonts w:ascii="Aptos" w:hAnsi="Aptos"/>
                <w:b w:val="0"/>
                <w:color w:val="1F2937"/>
                <w:sz w:val="14"/>
              </w:rPr>
              <w:t>Order Type Level Validation</w:t>
            </w:r>
          </w:p>
        </w:tc>
        <w:tc>
          <w:tcPr>
            <w:tcW w:type="dxa" w:w="4608"/>
            <w:vAlign w:val="center"/>
          </w:tcPr>
          <w:p>
            <w:pPr>
              <w:spacing w:after="0"/>
            </w:pPr>
            <w:r/>
            <w:r>
              <w:rPr>
                <w:rFonts w:ascii="Aptos" w:hAnsi="Aptos"/>
                <w:b w:val="0"/>
                <w:color w:val="1F2937"/>
                <w:sz w:val="14"/>
              </w:rPr>
              <w:t>Calls validateOrderTypeLevelRequest().</w:t>
            </w:r>
          </w:p>
        </w:tc>
      </w:tr>
      <w:tr>
        <w:tc>
          <w:tcPr>
            <w:tcW w:type="dxa" w:w="504"/>
            <w:shd w:fill="F4F7FA"/>
            <w:vAlign w:val="center"/>
          </w:tcPr>
          <w:p>
            <w:pPr>
              <w:spacing w:after="0"/>
            </w:pPr>
            <w:r/>
            <w:r>
              <w:rPr>
                <w:rFonts w:ascii="Aptos" w:hAnsi="Aptos"/>
                <w:b w:val="0"/>
                <w:color w:val="1F2937"/>
                <w:sz w:val="14"/>
              </w:rPr>
              <w:t>2</w:t>
            </w:r>
          </w:p>
        </w:tc>
        <w:tc>
          <w:tcPr>
            <w:tcW w:type="dxa" w:w="2232"/>
            <w:shd w:fill="F4F7FA"/>
            <w:vAlign w:val="center"/>
          </w:tcPr>
          <w:p>
            <w:pPr>
              <w:spacing w:after="0"/>
            </w:pPr>
            <w:r/>
            <w:r>
              <w:rPr>
                <w:rFonts w:ascii="Aptos" w:hAnsi="Aptos"/>
                <w:b w:val="0"/>
                <w:color w:val="1F2937"/>
                <w:sz w:val="14"/>
              </w:rPr>
              <w:t>validateOrderTypeLevelRequest()</w:t>
            </w:r>
          </w:p>
        </w:tc>
        <w:tc>
          <w:tcPr>
            <w:tcW w:type="dxa" w:w="936"/>
            <w:shd w:fill="F4F7FA"/>
            <w:vAlign w:val="center"/>
          </w:tcPr>
          <w:p>
            <w:pPr>
              <w:spacing w:after="0"/>
            </w:pPr>
            <w:r/>
            <w:r>
              <w:rPr>
                <w:rFonts w:ascii="Aptos" w:hAnsi="Aptos"/>
                <w:b w:val="0"/>
                <w:color w:val="1F2937"/>
                <w:sz w:val="14"/>
              </w:rPr>
              <w:t>104–106</w:t>
            </w:r>
          </w:p>
        </w:tc>
        <w:tc>
          <w:tcPr>
            <w:tcW w:type="dxa" w:w="2376"/>
            <w:shd w:fill="F4F7FA"/>
            <w:vAlign w:val="center"/>
          </w:tcPr>
          <w:p>
            <w:pPr>
              <w:spacing w:after="0"/>
            </w:pPr>
            <w:r/>
            <w:r>
              <w:rPr>
                <w:rFonts w:ascii="Aptos" w:hAnsi="Aptos"/>
                <w:b w:val="0"/>
                <w:color w:val="1F2937"/>
                <w:sz w:val="14"/>
              </w:rPr>
              <w:t>Upgrade Items Validation</w:t>
            </w:r>
          </w:p>
        </w:tc>
        <w:tc>
          <w:tcPr>
            <w:tcW w:type="dxa" w:w="4608"/>
            <w:shd w:fill="F4F7FA"/>
            <w:vAlign w:val="center"/>
          </w:tcPr>
          <w:p>
            <w:pPr>
              <w:spacing w:after="0"/>
            </w:pPr>
            <w:r/>
            <w:r>
              <w:rPr>
                <w:rFonts w:ascii="Aptos" w:hAnsi="Aptos"/>
                <w:b w:val="0"/>
                <w:color w:val="1F2937"/>
                <w:sz w:val="14"/>
              </w:rPr>
              <w:t>Checks if orderType is UPGRADE and validates each item.</w:t>
            </w:r>
          </w:p>
        </w:tc>
      </w:tr>
      <w:tr>
        <w:tc>
          <w:tcPr>
            <w:tcW w:type="dxa" w:w="504"/>
            <w:vAlign w:val="center"/>
          </w:tcPr>
          <w:p>
            <w:pPr>
              <w:spacing w:after="0"/>
            </w:pPr>
            <w:r/>
            <w:r>
              <w:rPr>
                <w:rFonts w:ascii="Aptos" w:hAnsi="Aptos"/>
                <w:b w:val="0"/>
                <w:color w:val="1F2937"/>
                <w:sz w:val="14"/>
              </w:rPr>
              <w:t>3</w:t>
            </w:r>
          </w:p>
        </w:tc>
        <w:tc>
          <w:tcPr>
            <w:tcW w:type="dxa" w:w="2232"/>
            <w:vAlign w:val="center"/>
          </w:tcPr>
          <w:p>
            <w:pPr>
              <w:spacing w:after="0"/>
            </w:pPr>
            <w:r/>
            <w:r>
              <w:rPr>
                <w:rFonts w:ascii="Aptos" w:hAnsi="Aptos"/>
                <w:b w:val="0"/>
                <w:color w:val="1F2937"/>
                <w:sz w:val="14"/>
              </w:rPr>
              <w:t>validateUpgradeItems()</w:t>
            </w:r>
          </w:p>
        </w:tc>
        <w:tc>
          <w:tcPr>
            <w:tcW w:type="dxa" w:w="936"/>
            <w:vAlign w:val="center"/>
          </w:tcPr>
          <w:p>
            <w:pPr>
              <w:spacing w:after="0"/>
            </w:pPr>
            <w:r/>
            <w:r>
              <w:rPr>
                <w:rFonts w:ascii="Aptos" w:hAnsi="Aptos"/>
                <w:b w:val="0"/>
                <w:color w:val="1F2937"/>
                <w:sz w:val="14"/>
              </w:rPr>
              <w:t>312–319</w:t>
            </w:r>
          </w:p>
        </w:tc>
        <w:tc>
          <w:tcPr>
            <w:tcW w:type="dxa" w:w="2376"/>
            <w:vAlign w:val="center"/>
          </w:tcPr>
          <w:p>
            <w:pPr>
              <w:spacing w:after="0"/>
            </w:pPr>
            <w:r/>
            <w:r>
              <w:rPr>
                <w:rFonts w:ascii="Aptos" w:hAnsi="Aptos"/>
                <w:b w:val="0"/>
                <w:color w:val="1F2937"/>
                <w:sz w:val="14"/>
              </w:rPr>
              <w:t>Return Shipment Fee SKU Presence</w:t>
            </w:r>
          </w:p>
        </w:tc>
        <w:tc>
          <w:tcPr>
            <w:tcW w:type="dxa" w:w="4608"/>
            <w:vAlign w:val="center"/>
          </w:tcPr>
          <w:p>
            <w:pPr>
              <w:spacing w:after="0"/>
            </w:pPr>
            <w:r/>
            <w:r>
              <w:rPr>
                <w:rFonts w:ascii="Aptos" w:hAnsi="Aptos"/>
                <w:b w:val="0"/>
                <w:color w:val="1F2937"/>
                <w:sz w:val="14"/>
              </w:rPr>
              <w:t>Validates that orderRequest contains at least one item with productType: returnShipmentFeeSku (Lines 313–317).</w:t>
            </w:r>
          </w:p>
        </w:tc>
      </w:tr>
      <w:tr>
        <w:tc>
          <w:tcPr>
            <w:tcW w:type="dxa" w:w="504"/>
            <w:shd w:fill="F4F7FA"/>
            <w:vAlign w:val="center"/>
          </w:tcPr>
          <w:p>
            <w:pPr>
              <w:spacing w:after="0"/>
            </w:pPr>
            <w:r/>
            <w:r>
              <w:rPr>
                <w:rFonts w:ascii="Aptos" w:hAnsi="Aptos"/>
                <w:b w:val="0"/>
                <w:color w:val="1F2937"/>
                <w:sz w:val="14"/>
              </w:rPr>
              <w:t>4</w:t>
            </w:r>
          </w:p>
        </w:tc>
        <w:tc>
          <w:tcPr>
            <w:tcW w:type="dxa" w:w="2232"/>
            <w:shd w:fill="F4F7FA"/>
            <w:vAlign w:val="center"/>
          </w:tcPr>
          <w:p>
            <w:pPr>
              <w:spacing w:after="0"/>
            </w:pPr>
            <w:r/>
            <w:r>
              <w:rPr>
                <w:rFonts w:ascii="Aptos" w:hAnsi="Aptos"/>
                <w:b w:val="0"/>
                <w:color w:val="1F2937"/>
                <w:sz w:val="14"/>
              </w:rPr>
              <w:t>validateUpgradeItems()</w:t>
            </w:r>
          </w:p>
        </w:tc>
        <w:tc>
          <w:tcPr>
            <w:tcW w:type="dxa" w:w="936"/>
            <w:shd w:fill="F4F7FA"/>
            <w:vAlign w:val="center"/>
          </w:tcPr>
          <w:p>
            <w:pPr>
              <w:spacing w:after="0"/>
            </w:pPr>
            <w:r/>
            <w:r>
              <w:rPr>
                <w:rFonts w:ascii="Aptos" w:hAnsi="Aptos"/>
                <w:b w:val="0"/>
                <w:color w:val="1F2937"/>
                <w:sz w:val="14"/>
              </w:rPr>
              <w:t>318</w:t>
            </w:r>
          </w:p>
        </w:tc>
        <w:tc>
          <w:tcPr>
            <w:tcW w:type="dxa" w:w="2376"/>
            <w:shd w:fill="F4F7FA"/>
            <w:vAlign w:val="center"/>
          </w:tcPr>
          <w:p>
            <w:pPr>
              <w:spacing w:after="0"/>
            </w:pPr>
            <w:r/>
            <w:r>
              <w:rPr>
                <w:rFonts w:ascii="Aptos" w:hAnsi="Aptos"/>
                <w:b w:val="0"/>
                <w:color w:val="1F2937"/>
                <w:sz w:val="14"/>
              </w:rPr>
              <w:t>Individual Item Validation</w:t>
            </w:r>
          </w:p>
        </w:tc>
        <w:tc>
          <w:tcPr>
            <w:tcW w:type="dxa" w:w="4608"/>
            <w:shd w:fill="F4F7FA"/>
            <w:vAlign w:val="center"/>
          </w:tcPr>
          <w:p>
            <w:pPr>
              <w:spacing w:after="0"/>
            </w:pPr>
            <w:r/>
            <w:r>
              <w:rPr>
                <w:rFonts w:ascii="Aptos" w:hAnsi="Aptos"/>
                <w:b w:val="0"/>
                <w:color w:val="1F2937"/>
                <w:sz w:val="14"/>
              </w:rPr>
              <w:t>Calls validateUpgradeProductInfo() for each item.</w:t>
            </w:r>
          </w:p>
        </w:tc>
      </w:tr>
      <w:tr>
        <w:tc>
          <w:tcPr>
            <w:tcW w:type="dxa" w:w="504"/>
            <w:vAlign w:val="center"/>
          </w:tcPr>
          <w:p>
            <w:pPr>
              <w:spacing w:after="0"/>
            </w:pPr>
            <w:r/>
            <w:r>
              <w:rPr>
                <w:rFonts w:ascii="Aptos" w:hAnsi="Aptos"/>
                <w:b w:val="0"/>
                <w:color w:val="1F2937"/>
                <w:sz w:val="14"/>
              </w:rPr>
              <w:t>5</w:t>
            </w:r>
          </w:p>
        </w:tc>
        <w:tc>
          <w:tcPr>
            <w:tcW w:type="dxa" w:w="2232"/>
            <w:vAlign w:val="center"/>
          </w:tcPr>
          <w:p>
            <w:pPr>
              <w:spacing w:after="0"/>
            </w:pPr>
            <w:r/>
            <w:r>
              <w:rPr>
                <w:rFonts w:ascii="Aptos" w:hAnsi="Aptos"/>
                <w:b w:val="0"/>
                <w:color w:val="1F2937"/>
                <w:sz w:val="14"/>
              </w:rPr>
              <w:t>validateUpgradeProductInfo()</w:t>
            </w:r>
          </w:p>
        </w:tc>
        <w:tc>
          <w:tcPr>
            <w:tcW w:type="dxa" w:w="936"/>
            <w:vAlign w:val="center"/>
          </w:tcPr>
          <w:p>
            <w:pPr>
              <w:spacing w:after="0"/>
            </w:pPr>
            <w:r/>
            <w:r>
              <w:rPr>
                <w:rFonts w:ascii="Aptos" w:hAnsi="Aptos"/>
                <w:b w:val="0"/>
                <w:color w:val="1F2937"/>
                <w:sz w:val="14"/>
              </w:rPr>
              <w:t>324–335</w:t>
            </w:r>
          </w:p>
        </w:tc>
        <w:tc>
          <w:tcPr>
            <w:tcW w:type="dxa" w:w="2376"/>
            <w:vAlign w:val="center"/>
          </w:tcPr>
          <w:p>
            <w:pPr>
              <w:spacing w:after="0"/>
            </w:pPr>
            <w:r/>
            <w:r>
              <w:rPr>
                <w:rFonts w:ascii="Aptos" w:hAnsi="Aptos"/>
                <w:b w:val="0"/>
                <w:color w:val="1F2937"/>
                <w:sz w:val="14"/>
              </w:rPr>
              <w:t>Contract Term Validation</w:t>
            </w:r>
          </w:p>
        </w:tc>
        <w:tc>
          <w:tcPr>
            <w:tcW w:type="dxa" w:w="4608"/>
            <w:vAlign w:val="center"/>
          </w:tcPr>
          <w:p>
            <w:pPr>
              <w:spacing w:after="0"/>
            </w:pPr>
            <w:r/>
            <w:r>
              <w:rPr>
                <w:rFonts w:ascii="Aptos" w:hAnsi="Aptos"/>
                <w:b w:val="0"/>
                <w:color w:val="1F2937"/>
                <w:sz w:val="14"/>
              </w:rPr>
              <w:t>Validates contractTerm if present; calls validateContractTermEndDate() (Lines 325–328).</w:t>
            </w:r>
          </w:p>
        </w:tc>
      </w:tr>
      <w:tr>
        <w:tc>
          <w:tcPr>
            <w:tcW w:type="dxa" w:w="504"/>
            <w:shd w:fill="F4F7FA"/>
            <w:vAlign w:val="center"/>
          </w:tcPr>
          <w:p>
            <w:pPr>
              <w:spacing w:after="0"/>
            </w:pPr>
            <w:r/>
            <w:r>
              <w:rPr>
                <w:rFonts w:ascii="Aptos" w:hAnsi="Aptos"/>
                <w:b w:val="0"/>
                <w:color w:val="1F2937"/>
                <w:sz w:val="14"/>
              </w:rPr>
              <w:t>6</w:t>
            </w:r>
          </w:p>
        </w:tc>
        <w:tc>
          <w:tcPr>
            <w:tcW w:type="dxa" w:w="2232"/>
            <w:shd w:fill="F4F7FA"/>
            <w:vAlign w:val="center"/>
          </w:tcPr>
          <w:p>
            <w:pPr>
              <w:spacing w:after="0"/>
            </w:pPr>
            <w:r/>
            <w:r>
              <w:rPr>
                <w:rFonts w:ascii="Aptos" w:hAnsi="Aptos"/>
                <w:b w:val="0"/>
                <w:color w:val="1F2937"/>
                <w:sz w:val="14"/>
              </w:rPr>
              <w:t>validateContractTermEndDate()</w:t>
            </w:r>
          </w:p>
        </w:tc>
        <w:tc>
          <w:tcPr>
            <w:tcW w:type="dxa" w:w="936"/>
            <w:shd w:fill="F4F7FA"/>
            <w:vAlign w:val="center"/>
          </w:tcPr>
          <w:p>
            <w:pPr>
              <w:spacing w:after="0"/>
            </w:pPr>
            <w:r/>
            <w:r>
              <w:rPr>
                <w:rFonts w:ascii="Aptos" w:hAnsi="Aptos"/>
                <w:b w:val="0"/>
                <w:color w:val="1F2937"/>
                <w:sz w:val="14"/>
              </w:rPr>
              <w:t>163–181</w:t>
            </w:r>
          </w:p>
        </w:tc>
        <w:tc>
          <w:tcPr>
            <w:tcW w:type="dxa" w:w="2376"/>
            <w:shd w:fill="F4F7FA"/>
            <w:vAlign w:val="center"/>
          </w:tcPr>
          <w:p>
            <w:pPr>
              <w:spacing w:after="0"/>
            </w:pPr>
            <w:r/>
            <w:r>
              <w:rPr>
                <w:rFonts w:ascii="Aptos" w:hAnsi="Aptos"/>
                <w:b w:val="0"/>
                <w:color w:val="1F2937"/>
                <w:sz w:val="14"/>
              </w:rPr>
              <w:t>End Date &amp; Auto-Renew Rules</w:t>
            </w:r>
          </w:p>
        </w:tc>
        <w:tc>
          <w:tcPr>
            <w:tcW w:type="dxa" w:w="4608"/>
            <w:shd w:fill="F4F7FA"/>
            <w:vAlign w:val="center"/>
          </w:tcPr>
          <w:p>
            <w:pPr>
              <w:spacing w:after="0"/>
            </w:pPr>
            <w:r/>
            <w:r>
              <w:rPr>
                <w:rFonts w:ascii="Aptos" w:hAnsi="Aptos"/>
                <w:b w:val="0"/>
                <w:color w:val="1F2937"/>
                <w:sz w:val="14"/>
              </w:rPr>
              <w:t>If endDate is blank, autoRenew defaults to true (Line 169) or must be true (Lines 170–172). If endDate is present, autoRenew must be false (Lines 175–178).</w:t>
            </w:r>
          </w:p>
        </w:tc>
      </w:tr>
      <w:tr>
        <w:tc>
          <w:tcPr>
            <w:tcW w:type="dxa" w:w="504"/>
            <w:vAlign w:val="center"/>
          </w:tcPr>
          <w:p>
            <w:pPr>
              <w:spacing w:after="0"/>
            </w:pPr>
            <w:r/>
            <w:r>
              <w:rPr>
                <w:rFonts w:ascii="Aptos" w:hAnsi="Aptos"/>
                <w:b w:val="0"/>
                <w:color w:val="1F2937"/>
                <w:sz w:val="14"/>
              </w:rPr>
              <w:t>7</w:t>
            </w:r>
          </w:p>
        </w:tc>
        <w:tc>
          <w:tcPr>
            <w:tcW w:type="dxa" w:w="2232"/>
            <w:vAlign w:val="center"/>
          </w:tcPr>
          <w:p>
            <w:pPr>
              <w:spacing w:after="0"/>
            </w:pPr>
            <w:r/>
            <w:r>
              <w:rPr>
                <w:rFonts w:ascii="Aptos" w:hAnsi="Aptos"/>
                <w:b w:val="0"/>
                <w:color w:val="1F2937"/>
                <w:sz w:val="14"/>
              </w:rPr>
              <w:t>validateUpgradeProductInfo()</w:t>
            </w:r>
          </w:p>
        </w:tc>
        <w:tc>
          <w:tcPr>
            <w:tcW w:type="dxa" w:w="936"/>
            <w:vAlign w:val="center"/>
          </w:tcPr>
          <w:p>
            <w:pPr>
              <w:spacing w:after="0"/>
            </w:pPr>
            <w:r/>
            <w:r>
              <w:rPr>
                <w:rFonts w:ascii="Aptos" w:hAnsi="Aptos"/>
                <w:b w:val="0"/>
                <w:color w:val="1F2937"/>
                <w:sz w:val="14"/>
              </w:rPr>
              <w:t>329–334</w:t>
            </w:r>
          </w:p>
        </w:tc>
        <w:tc>
          <w:tcPr>
            <w:tcW w:type="dxa" w:w="2376"/>
            <w:vAlign w:val="center"/>
          </w:tcPr>
          <w:p>
            <w:pPr>
              <w:spacing w:after="0"/>
            </w:pPr>
            <w:r/>
            <w:r>
              <w:rPr>
                <w:rFonts w:ascii="Aptos" w:hAnsi="Aptos"/>
                <w:b w:val="0"/>
                <w:color w:val="1F2937"/>
                <w:sz w:val="14"/>
              </w:rPr>
              <w:t>OnBooks Printer Special Validation</w:t>
            </w:r>
          </w:p>
        </w:tc>
        <w:tc>
          <w:tcPr>
            <w:tcW w:type="dxa" w:w="4608"/>
            <w:vAlign w:val="center"/>
          </w:tcPr>
          <w:p>
            <w:pPr>
              <w:spacing w:after="0"/>
            </w:pPr>
            <w:r/>
            <w:r>
              <w:rPr>
                <w:rFonts w:ascii="Aptos" w:hAnsi="Aptos"/>
                <w:b w:val="0"/>
                <w:color w:val="1F2937"/>
                <w:sz w:val="14"/>
              </w:rPr>
              <w:t>For onbooks_printer productType only: validates additionalItemInfo with allowed fields: FRIENDLY_SUB_ID, PARENT_ORDER_ID, BILLING_CYCLE_START_DATE, CUSTOMER_ORDER_TYPE.</w:t>
            </w:r>
          </w:p>
        </w:tc>
      </w:tr>
      <w:tr>
        <w:tc>
          <w:tcPr>
            <w:tcW w:type="dxa" w:w="504"/>
            <w:shd w:fill="F4F7FA"/>
            <w:vAlign w:val="center"/>
          </w:tcPr>
          <w:p>
            <w:pPr>
              <w:spacing w:after="0"/>
            </w:pPr>
            <w:r/>
            <w:r>
              <w:rPr>
                <w:rFonts w:ascii="Aptos" w:hAnsi="Aptos"/>
                <w:b w:val="0"/>
                <w:color w:val="1F2937"/>
                <w:sz w:val="14"/>
              </w:rPr>
              <w:t>8</w:t>
            </w:r>
          </w:p>
        </w:tc>
        <w:tc>
          <w:tcPr>
            <w:tcW w:type="dxa" w:w="2232"/>
            <w:shd w:fill="F4F7FA"/>
            <w:vAlign w:val="center"/>
          </w:tcPr>
          <w:p>
            <w:pPr>
              <w:spacing w:after="0"/>
            </w:pPr>
            <w:r/>
            <w:r>
              <w:rPr>
                <w:rFonts w:ascii="Aptos" w:hAnsi="Aptos"/>
                <w:b w:val="0"/>
                <w:color w:val="1F2937"/>
                <w:sz w:val="14"/>
              </w:rPr>
              <w:t>validateAdditionalItemInfo()</w:t>
            </w:r>
          </w:p>
        </w:tc>
        <w:tc>
          <w:tcPr>
            <w:tcW w:type="dxa" w:w="936"/>
            <w:shd w:fill="F4F7FA"/>
            <w:vAlign w:val="center"/>
          </w:tcPr>
          <w:p>
            <w:pPr>
              <w:spacing w:after="0"/>
            </w:pPr>
            <w:r/>
            <w:r>
              <w:rPr>
                <w:rFonts w:ascii="Aptos" w:hAnsi="Aptos"/>
                <w:b w:val="0"/>
                <w:color w:val="1F2937"/>
                <w:sz w:val="14"/>
              </w:rPr>
              <w:t>186–213</w:t>
            </w:r>
          </w:p>
        </w:tc>
        <w:tc>
          <w:tcPr>
            <w:tcW w:type="dxa" w:w="2376"/>
            <w:shd w:fill="F4F7FA"/>
            <w:vAlign w:val="center"/>
          </w:tcPr>
          <w:p>
            <w:pPr>
              <w:spacing w:after="0"/>
            </w:pPr>
            <w:r/>
            <w:r>
              <w:rPr>
                <w:rFonts w:ascii="Aptos" w:hAnsi="Aptos"/>
                <w:b w:val="0"/>
                <w:color w:val="1F2937"/>
                <w:sz w:val="14"/>
              </w:rPr>
              <w:t>Additional Item Info Validation</w:t>
            </w:r>
          </w:p>
        </w:tc>
        <w:tc>
          <w:tcPr>
            <w:tcW w:type="dxa" w:w="4608"/>
            <w:shd w:fill="F4F7FA"/>
            <w:vAlign w:val="center"/>
          </w:tcPr>
          <w:p>
            <w:pPr>
              <w:spacing w:after="0"/>
            </w:pPr>
            <w:r/>
            <w:r>
              <w:rPr>
                <w:rFonts w:ascii="Aptos" w:hAnsi="Aptos"/>
                <w:b w:val="0"/>
                <w:color w:val="1F2937"/>
                <w:sz w:val="14"/>
              </w:rPr>
              <w:t>Checks if additionalItemInfo exists (Lines 188–191); validates keys against allowedFields (Lines 193–199); validates values are not blank (Lines 200–204); validates date format for BILLING_CYCLE_START_DATE as UTC: yyyy-MM-dd'T'00:00:00Z (Lines 205–211).</w:t>
            </w:r>
          </w:p>
        </w:tc>
      </w:tr>
      <w:tr>
        <w:tc>
          <w:tcPr>
            <w:tcW w:type="dxa" w:w="504"/>
            <w:vAlign w:val="center"/>
          </w:tcPr>
          <w:p>
            <w:pPr>
              <w:spacing w:after="0"/>
            </w:pPr>
            <w:r/>
            <w:r>
              <w:rPr>
                <w:rFonts w:ascii="Aptos" w:hAnsi="Aptos"/>
                <w:b w:val="0"/>
                <w:color w:val="1F2937"/>
                <w:sz w:val="14"/>
              </w:rPr>
              <w:t>9</w:t>
            </w:r>
          </w:p>
        </w:tc>
        <w:tc>
          <w:tcPr>
            <w:tcW w:type="dxa" w:w="2232"/>
            <w:vAlign w:val="center"/>
          </w:tcPr>
          <w:p>
            <w:pPr>
              <w:spacing w:after="0"/>
            </w:pPr>
            <w:r/>
            <w:r>
              <w:rPr>
                <w:rFonts w:ascii="Aptos" w:hAnsi="Aptos"/>
                <w:b w:val="0"/>
                <w:color w:val="1F2937"/>
                <w:sz w:val="14"/>
              </w:rPr>
              <w:t>validateOldRenewedOrder()</w:t>
            </w:r>
          </w:p>
        </w:tc>
        <w:tc>
          <w:tcPr>
            <w:tcW w:type="dxa" w:w="936"/>
            <w:vAlign w:val="center"/>
          </w:tcPr>
          <w:p>
            <w:pPr>
              <w:spacing w:after="0"/>
            </w:pPr>
            <w:r/>
            <w:r>
              <w:rPr>
                <w:rFonts w:ascii="Aptos" w:hAnsi="Aptos"/>
                <w:b w:val="0"/>
                <w:color w:val="1F2937"/>
                <w:sz w:val="14"/>
              </w:rPr>
              <w:t>340–370</w:t>
            </w:r>
          </w:p>
        </w:tc>
        <w:tc>
          <w:tcPr>
            <w:tcW w:type="dxa" w:w="2376"/>
            <w:vAlign w:val="center"/>
          </w:tcPr>
          <w:p>
            <w:pPr>
              <w:spacing w:after="0"/>
            </w:pPr>
            <w:r/>
            <w:r>
              <w:rPr>
                <w:rFonts w:ascii="Aptos" w:hAnsi="Aptos"/>
                <w:b w:val="0"/>
                <w:color w:val="1F2937"/>
                <w:sz w:val="14"/>
              </w:rPr>
              <w:t>Parent Order Linkage Validation</w:t>
            </w:r>
          </w:p>
        </w:tc>
        <w:tc>
          <w:tcPr>
            <w:tcW w:type="dxa" w:w="4608"/>
            <w:vAlign w:val="center"/>
          </w:tcPr>
          <w:p>
            <w:pPr>
              <w:spacing w:after="0"/>
            </w:pPr>
            <w:r/>
            <w:r>
              <w:rPr>
                <w:rFonts w:ascii="Aptos" w:hAnsi="Aptos"/>
                <w:b w:val="0"/>
                <w:color w:val="1F2937"/>
                <w:sz w:val="14"/>
              </w:rPr>
              <w:t>Extracts PARENT_ORDER_ID from additionalItemInfo (Lines 345–350); if present, queries DB for base subscription with that orderReferenceId (Lines 357–362); validates old subscription status is valid and rejects PAUSED/other states (Lines 365–369).</w:t>
            </w:r>
          </w:p>
        </w:tc>
      </w:tr>
      <w:tr>
        <w:tc>
          <w:tcPr>
            <w:tcW w:type="dxa" w:w="504"/>
            <w:shd w:fill="F4F7FA"/>
            <w:vAlign w:val="center"/>
          </w:tcPr>
          <w:p>
            <w:pPr>
              <w:spacing w:after="0"/>
            </w:pPr>
            <w:r/>
            <w:r>
              <w:rPr>
                <w:rFonts w:ascii="Aptos" w:hAnsi="Aptos"/>
                <w:b w:val="0"/>
                <w:color w:val="1F2937"/>
                <w:sz w:val="14"/>
              </w:rPr>
              <w:t>10</w:t>
            </w:r>
          </w:p>
        </w:tc>
        <w:tc>
          <w:tcPr>
            <w:tcW w:type="dxa" w:w="2232"/>
            <w:shd w:fill="F4F7FA"/>
            <w:vAlign w:val="center"/>
          </w:tcPr>
          <w:p>
            <w:pPr>
              <w:spacing w:after="0"/>
            </w:pPr>
            <w:r/>
            <w:r>
              <w:rPr>
                <w:rFonts w:ascii="Aptos" w:hAnsi="Aptos"/>
                <w:b w:val="0"/>
                <w:color w:val="1F2937"/>
                <w:sz w:val="14"/>
              </w:rPr>
              <w:t>validateOrderTypeLevelRequest()</w:t>
            </w:r>
          </w:p>
        </w:tc>
        <w:tc>
          <w:tcPr>
            <w:tcW w:type="dxa" w:w="936"/>
            <w:shd w:fill="F4F7FA"/>
            <w:vAlign w:val="center"/>
          </w:tcPr>
          <w:p>
            <w:pPr>
              <w:spacing w:after="0"/>
            </w:pPr>
            <w:r/>
            <w:r>
              <w:rPr>
                <w:rFonts w:ascii="Aptos" w:hAnsi="Aptos"/>
                <w:b w:val="0"/>
                <w:color w:val="1F2937"/>
                <w:sz w:val="14"/>
              </w:rPr>
              <w:t>107–111</w:t>
            </w:r>
          </w:p>
        </w:tc>
        <w:tc>
          <w:tcPr>
            <w:tcW w:type="dxa" w:w="2376"/>
            <w:shd w:fill="F4F7FA"/>
            <w:vAlign w:val="center"/>
          </w:tcPr>
          <w:p>
            <w:pPr>
              <w:spacing w:after="0"/>
            </w:pPr>
            <w:r/>
            <w:r>
              <w:rPr>
                <w:rFonts w:ascii="Aptos" w:hAnsi="Aptos"/>
                <w:b w:val="0"/>
                <w:color w:val="1F2937"/>
                <w:sz w:val="14"/>
              </w:rPr>
              <w:t>Cancellation SKU Validation</w:t>
            </w:r>
          </w:p>
        </w:tc>
        <w:tc>
          <w:tcPr>
            <w:tcW w:type="dxa" w:w="4608"/>
            <w:shd w:fill="F4F7FA"/>
            <w:vAlign w:val="center"/>
          </w:tcPr>
          <w:p>
            <w:pPr>
              <w:spacing w:after="0"/>
            </w:pPr>
            <w:r/>
            <w:r>
              <w:rPr>
                <w:rFonts w:ascii="Aptos" w:hAnsi="Aptos"/>
                <w:b w:val="0"/>
                <w:color w:val="1F2937"/>
                <w:sz w:val="14"/>
              </w:rPr>
              <w:t>For UPGRADE orders: calls validateCancellationSku().</w:t>
            </w:r>
          </w:p>
        </w:tc>
      </w:tr>
      <w:tr>
        <w:tc>
          <w:tcPr>
            <w:tcW w:type="dxa" w:w="504"/>
            <w:vAlign w:val="center"/>
          </w:tcPr>
          <w:p>
            <w:pPr>
              <w:spacing w:after="0"/>
            </w:pPr>
            <w:r/>
            <w:r>
              <w:rPr>
                <w:rFonts w:ascii="Aptos" w:hAnsi="Aptos"/>
                <w:b w:val="0"/>
                <w:color w:val="1F2937"/>
                <w:sz w:val="14"/>
              </w:rPr>
              <w:t>11</w:t>
            </w:r>
          </w:p>
        </w:tc>
        <w:tc>
          <w:tcPr>
            <w:tcW w:type="dxa" w:w="2232"/>
            <w:vAlign w:val="center"/>
          </w:tcPr>
          <w:p>
            <w:pPr>
              <w:spacing w:after="0"/>
            </w:pPr>
            <w:r/>
            <w:r>
              <w:rPr>
                <w:rFonts w:ascii="Aptos" w:hAnsi="Aptos"/>
                <w:b w:val="0"/>
                <w:color w:val="1F2937"/>
                <w:sz w:val="14"/>
              </w:rPr>
              <w:t>validateCancellationSku()</w:t>
            </w:r>
          </w:p>
        </w:tc>
        <w:tc>
          <w:tcPr>
            <w:tcW w:type="dxa" w:w="936"/>
            <w:vAlign w:val="center"/>
          </w:tcPr>
          <w:p>
            <w:pPr>
              <w:spacing w:after="0"/>
            </w:pPr>
            <w:r/>
            <w:r>
              <w:rPr>
                <w:rFonts w:ascii="Aptos" w:hAnsi="Aptos"/>
                <w:b w:val="0"/>
                <w:color w:val="1F2937"/>
                <w:sz w:val="14"/>
              </w:rPr>
              <w:t>378–390</w:t>
            </w:r>
          </w:p>
        </w:tc>
        <w:tc>
          <w:tcPr>
            <w:tcW w:type="dxa" w:w="2376"/>
            <w:vAlign w:val="center"/>
          </w:tcPr>
          <w:p>
            <w:pPr>
              <w:spacing w:after="0"/>
            </w:pPr>
            <w:r/>
            <w:r>
              <w:rPr>
                <w:rFonts w:ascii="Aptos" w:hAnsi="Aptos"/>
                <w:b w:val="0"/>
                <w:color w:val="1F2937"/>
                <w:sz w:val="14"/>
              </w:rPr>
              <w:t>Cancellation SKU Product Validation</w:t>
            </w:r>
          </w:p>
        </w:tc>
        <w:tc>
          <w:tcPr>
            <w:tcW w:type="dxa" w:w="4608"/>
            <w:vAlign w:val="center"/>
          </w:tcPr>
          <w:p>
            <w:pPr>
              <w:spacing w:after="0"/>
            </w:pPr>
            <w:r/>
            <w:r>
              <w:rPr>
                <w:rFonts w:ascii="Aptos" w:hAnsi="Aptos"/>
                <w:b w:val="0"/>
                <w:color w:val="1F2937"/>
                <w:sz w:val="14"/>
              </w:rPr>
              <w:t>Finds cancellationSku in subscription list (Lines 379–382); throws error if cancellationSku is missing (Lines 383–384); validates cancellationSku product exists in product catalog (Lines 386–388).</w:t>
            </w:r>
          </w:p>
        </w:tc>
      </w:tr>
      <w:tr>
        <w:tc>
          <w:tcPr>
            <w:tcW w:type="dxa" w:w="504"/>
            <w:shd w:fill="F4F7FA"/>
            <w:vAlign w:val="center"/>
          </w:tcPr>
          <w:p>
            <w:pPr>
              <w:spacing w:after="0"/>
            </w:pPr>
            <w:r/>
            <w:r>
              <w:rPr>
                <w:rFonts w:ascii="Aptos" w:hAnsi="Aptos"/>
                <w:b w:val="0"/>
                <w:color w:val="1F2937"/>
                <w:sz w:val="14"/>
              </w:rPr>
              <w:t>12</w:t>
            </w:r>
          </w:p>
        </w:tc>
        <w:tc>
          <w:tcPr>
            <w:tcW w:type="dxa" w:w="2232"/>
            <w:shd w:fill="F4F7FA"/>
            <w:vAlign w:val="center"/>
          </w:tcPr>
          <w:p>
            <w:pPr>
              <w:spacing w:after="0"/>
            </w:pPr>
            <w:r/>
            <w:r>
              <w:rPr>
                <w:rFonts w:ascii="Aptos" w:hAnsi="Aptos"/>
                <w:b w:val="0"/>
                <w:color w:val="1F2937"/>
                <w:sz w:val="14"/>
              </w:rPr>
              <w:t>inputValidation()</w:t>
            </w:r>
          </w:p>
        </w:tc>
        <w:tc>
          <w:tcPr>
            <w:tcW w:type="dxa" w:w="936"/>
            <w:shd w:fill="F4F7FA"/>
            <w:vAlign w:val="center"/>
          </w:tcPr>
          <w:p>
            <w:pPr>
              <w:spacing w:after="0"/>
            </w:pPr>
            <w:r/>
            <w:r>
              <w:rPr>
                <w:rFonts w:ascii="Aptos" w:hAnsi="Aptos"/>
                <w:b w:val="0"/>
                <w:color w:val="1F2937"/>
                <w:sz w:val="14"/>
              </w:rPr>
              <w:t>78–81</w:t>
            </w:r>
          </w:p>
        </w:tc>
        <w:tc>
          <w:tcPr>
            <w:tcW w:type="dxa" w:w="2376"/>
            <w:shd w:fill="F4F7FA"/>
            <w:vAlign w:val="center"/>
          </w:tcPr>
          <w:p>
            <w:pPr>
              <w:spacing w:after="0"/>
            </w:pPr>
            <w:r/>
            <w:r>
              <w:rPr>
                <w:rFonts w:ascii="Aptos" w:hAnsi="Aptos"/>
                <w:b w:val="0"/>
                <w:color w:val="1F2937"/>
                <w:sz w:val="14"/>
              </w:rPr>
              <w:t>Address Type Validation</w:t>
            </w:r>
          </w:p>
        </w:tc>
        <w:tc>
          <w:tcPr>
            <w:tcW w:type="dxa" w:w="4608"/>
            <w:shd w:fill="F4F7FA"/>
            <w:vAlign w:val="center"/>
          </w:tcPr>
          <w:p>
            <w:pPr>
              <w:spacing w:after="0"/>
            </w:pPr>
            <w:r/>
            <w:r>
              <w:rPr>
                <w:rFonts w:ascii="Aptos" w:hAnsi="Aptos"/>
                <w:b w:val="0"/>
                <w:color w:val="1F2937"/>
                <w:sz w:val="14"/>
              </w:rPr>
              <w:t>Calls validateRequiredAddressTypesForPaaS() — validates all 4 address types are present (BILLTO, SHIPTO, SOLDTO, PAYER).</w:t>
            </w:r>
          </w:p>
        </w:tc>
      </w:tr>
      <w:tr>
        <w:tc>
          <w:tcPr>
            <w:tcW w:type="dxa" w:w="504"/>
            <w:vAlign w:val="center"/>
          </w:tcPr>
          <w:p>
            <w:pPr>
              <w:spacing w:after="0"/>
            </w:pPr>
            <w:r/>
            <w:r>
              <w:rPr>
                <w:rFonts w:ascii="Aptos" w:hAnsi="Aptos"/>
                <w:b w:val="0"/>
                <w:color w:val="1F2937"/>
                <w:sz w:val="14"/>
              </w:rPr>
              <w:t>13</w:t>
            </w:r>
          </w:p>
        </w:tc>
        <w:tc>
          <w:tcPr>
            <w:tcW w:type="dxa" w:w="2232"/>
            <w:vAlign w:val="center"/>
          </w:tcPr>
          <w:p>
            <w:pPr>
              <w:spacing w:after="0"/>
            </w:pPr>
            <w:r/>
            <w:r>
              <w:rPr>
                <w:rFonts w:ascii="Aptos" w:hAnsi="Aptos"/>
                <w:b w:val="0"/>
                <w:color w:val="1F2937"/>
                <w:sz w:val="14"/>
              </w:rPr>
              <w:t>validateRequiredAddressTypesForPaaS()</w:t>
            </w:r>
          </w:p>
        </w:tc>
        <w:tc>
          <w:tcPr>
            <w:tcW w:type="dxa" w:w="936"/>
            <w:vAlign w:val="center"/>
          </w:tcPr>
          <w:p>
            <w:pPr>
              <w:spacing w:after="0"/>
            </w:pPr>
            <w:r/>
            <w:r>
              <w:rPr>
                <w:rFonts w:ascii="Aptos" w:hAnsi="Aptos"/>
                <w:b w:val="0"/>
                <w:color w:val="1F2937"/>
                <w:sz w:val="14"/>
              </w:rPr>
              <w:t>392–422</w:t>
            </w:r>
          </w:p>
        </w:tc>
        <w:tc>
          <w:tcPr>
            <w:tcW w:type="dxa" w:w="2376"/>
            <w:vAlign w:val="center"/>
          </w:tcPr>
          <w:p>
            <w:pPr>
              <w:spacing w:after="0"/>
            </w:pPr>
            <w:r/>
            <w:r>
              <w:rPr>
                <w:rFonts w:ascii="Aptos" w:hAnsi="Aptos"/>
                <w:b w:val="0"/>
                <w:color w:val="1F2937"/>
                <w:sz w:val="14"/>
              </w:rPr>
              <w:t>Required Address Types</w:t>
            </w:r>
          </w:p>
        </w:tc>
        <w:tc>
          <w:tcPr>
            <w:tcW w:type="dxa" w:w="4608"/>
            <w:vAlign w:val="center"/>
          </w:tcPr>
          <w:p>
            <w:pPr>
              <w:spacing w:after="0"/>
            </w:pPr>
            <w:r/>
            <w:r>
              <w:rPr>
                <w:rFonts w:ascii="Aptos" w:hAnsi="Aptos"/>
                <w:b w:val="0"/>
                <w:color w:val="1F2937"/>
                <w:sz w:val="14"/>
              </w:rPr>
              <w:t>Verifies all 4 address types are present (Lines 393–395, 404–410); handles case-insensitive matching (Line 409); throws error if any required type is missing (Lines 416–419).</w:t>
            </w:r>
          </w:p>
        </w:tc>
      </w:tr>
      <w:tr>
        <w:tc>
          <w:tcPr>
            <w:tcW w:type="dxa" w:w="504"/>
            <w:shd w:fill="F4F7FA"/>
            <w:vAlign w:val="center"/>
          </w:tcPr>
          <w:p>
            <w:pPr>
              <w:spacing w:after="0"/>
            </w:pPr>
            <w:r/>
            <w:r>
              <w:rPr>
                <w:rFonts w:ascii="Aptos" w:hAnsi="Aptos"/>
                <w:b w:val="0"/>
                <w:color w:val="1F2937"/>
                <w:sz w:val="14"/>
              </w:rPr>
              <w:t>14</w:t>
            </w:r>
          </w:p>
        </w:tc>
        <w:tc>
          <w:tcPr>
            <w:tcW w:type="dxa" w:w="2232"/>
            <w:shd w:fill="F4F7FA"/>
            <w:vAlign w:val="center"/>
          </w:tcPr>
          <w:p>
            <w:pPr>
              <w:spacing w:after="0"/>
            </w:pPr>
            <w:r/>
            <w:r>
              <w:rPr>
                <w:rFonts w:ascii="Aptos" w:hAnsi="Aptos"/>
                <w:b w:val="0"/>
                <w:color w:val="1F2937"/>
                <w:sz w:val="14"/>
              </w:rPr>
              <w:t>inputValidation()</w:t>
            </w:r>
          </w:p>
        </w:tc>
        <w:tc>
          <w:tcPr>
            <w:tcW w:type="dxa" w:w="936"/>
            <w:shd w:fill="F4F7FA"/>
            <w:vAlign w:val="center"/>
          </w:tcPr>
          <w:p>
            <w:pPr>
              <w:spacing w:after="0"/>
            </w:pPr>
            <w:r/>
            <w:r>
              <w:rPr>
                <w:rFonts w:ascii="Aptos" w:hAnsi="Aptos"/>
                <w:b w:val="0"/>
                <w:color w:val="1F2937"/>
                <w:sz w:val="14"/>
              </w:rPr>
              <w:t>82–85</w:t>
            </w:r>
          </w:p>
        </w:tc>
        <w:tc>
          <w:tcPr>
            <w:tcW w:type="dxa" w:w="2376"/>
            <w:shd w:fill="F4F7FA"/>
            <w:vAlign w:val="center"/>
          </w:tcPr>
          <w:p>
            <w:pPr>
              <w:spacing w:after="0"/>
            </w:pPr>
            <w:r/>
            <w:r>
              <w:rPr>
                <w:rFonts w:ascii="Aptos" w:hAnsi="Aptos"/>
                <w:b w:val="0"/>
                <w:color w:val="1F2937"/>
                <w:sz w:val="14"/>
              </w:rPr>
              <w:t>Item ID Uniqueness &amp; CAS Mapping</w:t>
            </w:r>
          </w:p>
        </w:tc>
        <w:tc>
          <w:tcPr>
            <w:tcW w:type="dxa" w:w="4608"/>
            <w:shd w:fill="F4F7FA"/>
            <w:vAlign w:val="center"/>
          </w:tcPr>
          <w:p>
            <w:pPr>
              <w:spacing w:after="0"/>
            </w:pPr>
            <w:r/>
            <w:r>
              <w:rPr>
                <w:rFonts w:ascii="Aptos" w:hAnsi="Aptos"/>
                <w:b w:val="0"/>
                <w:color w:val="1F2937"/>
                <w:sz w:val="14"/>
              </w:rPr>
              <w:t>Calls verifyOrderItemIdsUniqueInProductInfo().</w:t>
            </w:r>
          </w:p>
        </w:tc>
      </w:tr>
      <w:tr>
        <w:tc>
          <w:tcPr>
            <w:tcW w:type="dxa" w:w="504"/>
            <w:vAlign w:val="center"/>
          </w:tcPr>
          <w:p>
            <w:pPr>
              <w:spacing w:after="0"/>
            </w:pPr>
            <w:r/>
            <w:r>
              <w:rPr>
                <w:rFonts w:ascii="Aptos" w:hAnsi="Aptos"/>
                <w:b w:val="0"/>
                <w:color w:val="1F2937"/>
                <w:sz w:val="14"/>
              </w:rPr>
              <w:t>15</w:t>
            </w:r>
          </w:p>
        </w:tc>
        <w:tc>
          <w:tcPr>
            <w:tcW w:type="dxa" w:w="2232"/>
            <w:vAlign w:val="center"/>
          </w:tcPr>
          <w:p>
            <w:pPr>
              <w:spacing w:after="0"/>
            </w:pPr>
            <w:r/>
            <w:r>
              <w:rPr>
                <w:rFonts w:ascii="Aptos" w:hAnsi="Aptos"/>
                <w:b w:val="0"/>
                <w:color w:val="1F2937"/>
                <w:sz w:val="14"/>
              </w:rPr>
              <w:t>verifyOrderItemIdsUniqueInProductInfo()</w:t>
            </w:r>
          </w:p>
        </w:tc>
        <w:tc>
          <w:tcPr>
            <w:tcW w:type="dxa" w:w="936"/>
            <w:vAlign w:val="center"/>
          </w:tcPr>
          <w:p>
            <w:pPr>
              <w:spacing w:after="0"/>
            </w:pPr>
            <w:r/>
            <w:r>
              <w:rPr>
                <w:rFonts w:ascii="Aptos" w:hAnsi="Aptos"/>
                <w:b w:val="0"/>
                <w:color w:val="1F2937"/>
                <w:sz w:val="14"/>
              </w:rPr>
              <w:t>430–488</w:t>
            </w:r>
          </w:p>
        </w:tc>
        <w:tc>
          <w:tcPr>
            <w:tcW w:type="dxa" w:w="2376"/>
            <w:vAlign w:val="center"/>
          </w:tcPr>
          <w:p>
            <w:pPr>
              <w:spacing w:after="0"/>
            </w:pPr>
            <w:r/>
            <w:r>
              <w:rPr>
                <w:rFonts w:ascii="Aptos" w:hAnsi="Aptos"/>
                <w:b w:val="0"/>
                <w:color w:val="1F2937"/>
                <w:sz w:val="14"/>
              </w:rPr>
              <w:t>Item ID Uniqueness Check</w:t>
            </w:r>
          </w:p>
        </w:tc>
        <w:tc>
          <w:tcPr>
            <w:tcW w:type="dxa" w:w="4608"/>
            <w:vAlign w:val="center"/>
          </w:tcPr>
          <w:p>
            <w:pPr>
              <w:spacing w:after="0"/>
            </w:pPr>
            <w:r/>
            <w:r>
              <w:rPr>
                <w:rFonts w:ascii="Aptos" w:hAnsi="Aptos"/>
                <w:b w:val="0"/>
                <w:color w:val="1F2937"/>
                <w:sz w:val="14"/>
              </w:rPr>
              <w:t>Validates items list is not empty (Lines 431–433); checks itemId uniqueness (Line 444–448); assigns CAS mapping order item IDs sequentially starting from 1 (Lines 450–454); validates parent item references (Lines 460–469, 479–481); sorts items by CAS mapping ID (Lines 484–486).</w:t>
            </w:r>
          </w:p>
        </w:tc>
      </w:tr>
      <w:tr>
        <w:tc>
          <w:tcPr>
            <w:tcW w:type="dxa" w:w="504"/>
            <w:shd w:fill="F4F7FA"/>
            <w:vAlign w:val="center"/>
          </w:tcPr>
          <w:p>
            <w:pPr>
              <w:spacing w:after="0"/>
            </w:pPr>
            <w:r/>
            <w:r>
              <w:rPr>
                <w:rFonts w:ascii="Aptos" w:hAnsi="Aptos"/>
                <w:b w:val="0"/>
                <w:color w:val="1F2937"/>
                <w:sz w:val="14"/>
              </w:rPr>
              <w:t>16</w:t>
            </w:r>
          </w:p>
        </w:tc>
        <w:tc>
          <w:tcPr>
            <w:tcW w:type="dxa" w:w="2232"/>
            <w:shd w:fill="F4F7FA"/>
            <w:vAlign w:val="center"/>
          </w:tcPr>
          <w:p>
            <w:pPr>
              <w:spacing w:after="0"/>
            </w:pPr>
            <w:r/>
            <w:r>
              <w:rPr>
                <w:rFonts w:ascii="Aptos" w:hAnsi="Aptos"/>
                <w:b w:val="0"/>
                <w:color w:val="1F2937"/>
                <w:sz w:val="14"/>
              </w:rPr>
              <w:t>inputValidation()</w:t>
            </w:r>
          </w:p>
        </w:tc>
        <w:tc>
          <w:tcPr>
            <w:tcW w:type="dxa" w:w="936"/>
            <w:shd w:fill="F4F7FA"/>
            <w:vAlign w:val="center"/>
          </w:tcPr>
          <w:p>
            <w:pPr>
              <w:spacing w:after="0"/>
            </w:pPr>
            <w:r/>
            <w:r>
              <w:rPr>
                <w:rFonts w:ascii="Aptos" w:hAnsi="Aptos"/>
                <w:b w:val="0"/>
                <w:color w:val="1F2937"/>
                <w:sz w:val="14"/>
              </w:rPr>
              <w:t>86–87</w:t>
            </w:r>
          </w:p>
        </w:tc>
        <w:tc>
          <w:tcPr>
            <w:tcW w:type="dxa" w:w="2376"/>
            <w:shd w:fill="F4F7FA"/>
            <w:vAlign w:val="center"/>
          </w:tcPr>
          <w:p>
            <w:pPr>
              <w:spacing w:after="0"/>
            </w:pPr>
            <w:r/>
            <w:r>
              <w:rPr>
                <w:rFonts w:ascii="Aptos" w:hAnsi="Aptos"/>
                <w:b w:val="0"/>
                <w:color w:val="1F2937"/>
                <w:sz w:val="14"/>
              </w:rPr>
              <w:t>Decimal Places Validation</w:t>
            </w:r>
          </w:p>
        </w:tc>
        <w:tc>
          <w:tcPr>
            <w:tcW w:type="dxa" w:w="4608"/>
            <w:shd w:fill="F4F7FA"/>
            <w:vAlign w:val="center"/>
          </w:tcPr>
          <w:p>
            <w:pPr>
              <w:spacing w:after="0"/>
            </w:pPr>
            <w:r/>
            <w:r>
              <w:rPr>
                <w:rFonts w:ascii="Aptos" w:hAnsi="Aptos"/>
                <w:b w:val="0"/>
                <w:color w:val="1F2937"/>
                <w:sz w:val="14"/>
              </w:rPr>
              <w:t>Calls validateDecimalPlaces().</w:t>
            </w:r>
          </w:p>
        </w:tc>
      </w:tr>
      <w:tr>
        <w:tc>
          <w:tcPr>
            <w:tcW w:type="dxa" w:w="504"/>
            <w:vAlign w:val="center"/>
          </w:tcPr>
          <w:p>
            <w:pPr>
              <w:spacing w:after="0"/>
            </w:pPr>
            <w:r/>
            <w:r>
              <w:rPr>
                <w:rFonts w:ascii="Aptos" w:hAnsi="Aptos"/>
                <w:b w:val="0"/>
                <w:color w:val="1F2937"/>
                <w:sz w:val="14"/>
              </w:rPr>
              <w:t>17</w:t>
            </w:r>
          </w:p>
        </w:tc>
        <w:tc>
          <w:tcPr>
            <w:tcW w:type="dxa" w:w="2232"/>
            <w:vAlign w:val="center"/>
          </w:tcPr>
          <w:p>
            <w:pPr>
              <w:spacing w:after="0"/>
            </w:pPr>
            <w:r/>
            <w:r>
              <w:rPr>
                <w:rFonts w:ascii="Aptos" w:hAnsi="Aptos"/>
                <w:b w:val="0"/>
                <w:color w:val="1F2937"/>
                <w:sz w:val="14"/>
              </w:rPr>
              <w:t>validateDecimalPlaces()</w:t>
            </w:r>
          </w:p>
        </w:tc>
        <w:tc>
          <w:tcPr>
            <w:tcW w:type="dxa" w:w="936"/>
            <w:vAlign w:val="center"/>
          </w:tcPr>
          <w:p>
            <w:pPr>
              <w:spacing w:after="0"/>
            </w:pPr>
            <w:r/>
            <w:r>
              <w:rPr>
                <w:rFonts w:ascii="Aptos" w:hAnsi="Aptos"/>
                <w:b w:val="0"/>
                <w:color w:val="1F2937"/>
                <w:sz w:val="14"/>
              </w:rPr>
              <w:t>517–536</w:t>
            </w:r>
          </w:p>
        </w:tc>
        <w:tc>
          <w:tcPr>
            <w:tcW w:type="dxa" w:w="2376"/>
            <w:vAlign w:val="center"/>
          </w:tcPr>
          <w:p>
            <w:pPr>
              <w:spacing w:after="0"/>
            </w:pPr>
            <w:r/>
            <w:r>
              <w:rPr>
                <w:rFonts w:ascii="Aptos" w:hAnsi="Aptos"/>
                <w:b w:val="0"/>
                <w:color w:val="1F2937"/>
                <w:sz w:val="14"/>
              </w:rPr>
              <w:t>Recycling Fee Precision</w:t>
            </w:r>
          </w:p>
        </w:tc>
        <w:tc>
          <w:tcPr>
            <w:tcW w:type="dxa" w:w="4608"/>
            <w:vAlign w:val="center"/>
          </w:tcPr>
          <w:p>
            <w:pPr>
              <w:spacing w:after="0"/>
            </w:pPr>
            <w:r/>
            <w:r>
              <w:rPr>
                <w:rFonts w:ascii="Aptos" w:hAnsi="Aptos"/>
                <w:b w:val="0"/>
                <w:color w:val="1F2937"/>
                <w:sz w:val="14"/>
              </w:rPr>
              <w:t>Validates RECYCLING_FEE adjustments have max 2 decimal places (Lines 525–528); normalizes zero fees (Lines 529–531).</w:t>
            </w:r>
          </w:p>
        </w:tc>
      </w:tr>
    </w:tbl>
    <w:p/>
    <w:p>
      <w:pPr>
        <w:pStyle w:val="Heading2"/>
      </w:pPr>
      <w:r>
        <w:t>2.5 Upgrade Implementation — Classes, Methods &amp; Line References</w:t>
      </w:r>
    </w:p>
    <w:p>
      <w:pPr>
        <w:spacing w:after="120"/>
      </w:pPr>
      <w:r>
        <w:t>This implementation map provides the concrete code locations behind the UPGRADE processing flow. It complements the parity gap analysis by showing the existing V1/V2-era implementation points that need to be mapped or ported into V3.</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432"/>
            <w:shd w:fill="17365D"/>
            <w:vAlign w:val="center"/>
          </w:tcPr>
          <w:p>
            <w:pPr>
              <w:spacing w:after="0"/>
            </w:pPr>
            <w:r/>
            <w:r>
              <w:rPr>
                <w:rFonts w:ascii="Aptos" w:hAnsi="Aptos"/>
                <w:b/>
                <w:color w:val="FFFFFF"/>
                <w:sz w:val="13"/>
              </w:rPr>
              <w:t>#</w:t>
            </w:r>
          </w:p>
        </w:tc>
        <w:tc>
          <w:tcPr>
            <w:tcW w:type="dxa" w:w="1440"/>
            <w:shd w:fill="17365D"/>
            <w:vAlign w:val="center"/>
          </w:tcPr>
          <w:p>
            <w:pPr>
              <w:spacing w:after="0"/>
            </w:pPr>
            <w:r/>
            <w:r>
              <w:rPr>
                <w:rFonts w:ascii="Aptos" w:hAnsi="Aptos"/>
                <w:b/>
                <w:color w:val="FFFFFF"/>
                <w:sz w:val="13"/>
              </w:rPr>
              <w:t>Component</w:t>
            </w:r>
          </w:p>
        </w:tc>
        <w:tc>
          <w:tcPr>
            <w:tcW w:type="dxa" w:w="2232"/>
            <w:shd w:fill="17365D"/>
            <w:vAlign w:val="center"/>
          </w:tcPr>
          <w:p>
            <w:pPr>
              <w:spacing w:after="0"/>
            </w:pPr>
            <w:r/>
            <w:r>
              <w:rPr>
                <w:rFonts w:ascii="Aptos" w:hAnsi="Aptos"/>
                <w:b/>
                <w:color w:val="FFFFFF"/>
                <w:sz w:val="13"/>
              </w:rPr>
              <w:t>File</w:t>
            </w:r>
          </w:p>
        </w:tc>
        <w:tc>
          <w:tcPr>
            <w:tcW w:type="dxa" w:w="1944"/>
            <w:shd w:fill="17365D"/>
            <w:vAlign w:val="center"/>
          </w:tcPr>
          <w:p>
            <w:pPr>
              <w:spacing w:after="0"/>
            </w:pPr>
            <w:r/>
            <w:r>
              <w:rPr>
                <w:rFonts w:ascii="Aptos" w:hAnsi="Aptos"/>
                <w:b/>
                <w:color w:val="FFFFFF"/>
                <w:sz w:val="13"/>
              </w:rPr>
              <w:t>Class</w:t>
            </w:r>
          </w:p>
        </w:tc>
        <w:tc>
          <w:tcPr>
            <w:tcW w:type="dxa" w:w="2448"/>
            <w:shd w:fill="17365D"/>
            <w:vAlign w:val="center"/>
          </w:tcPr>
          <w:p>
            <w:pPr>
              <w:spacing w:after="0"/>
            </w:pPr>
            <w:r/>
            <w:r>
              <w:rPr>
                <w:rFonts w:ascii="Aptos" w:hAnsi="Aptos"/>
                <w:b/>
                <w:color w:val="FFFFFF"/>
                <w:sz w:val="13"/>
              </w:rPr>
              <w:t>Method</w:t>
            </w:r>
          </w:p>
        </w:tc>
        <w:tc>
          <w:tcPr>
            <w:tcW w:type="dxa" w:w="792"/>
            <w:shd w:fill="17365D"/>
            <w:vAlign w:val="center"/>
          </w:tcPr>
          <w:p>
            <w:pPr>
              <w:spacing w:after="0"/>
            </w:pPr>
            <w:r/>
            <w:r>
              <w:rPr>
                <w:rFonts w:ascii="Aptos" w:hAnsi="Aptos"/>
                <w:b/>
                <w:color w:val="FFFFFF"/>
                <w:sz w:val="13"/>
              </w:rPr>
              <w:t>Lines</w:t>
            </w:r>
          </w:p>
        </w:tc>
        <w:tc>
          <w:tcPr>
            <w:tcW w:type="dxa" w:w="1944"/>
            <w:shd w:fill="17365D"/>
            <w:vAlign w:val="center"/>
          </w:tcPr>
          <w:p>
            <w:pPr>
              <w:spacing w:after="0"/>
            </w:pPr>
            <w:r/>
            <w:r>
              <w:rPr>
                <w:rFonts w:ascii="Aptos" w:hAnsi="Aptos"/>
                <w:b/>
                <w:color w:val="FFFFFF"/>
                <w:sz w:val="13"/>
              </w:rPr>
              <w:t>Purpose</w:t>
            </w:r>
          </w:p>
        </w:tc>
      </w:tr>
      <w:tr>
        <w:tc>
          <w:tcPr>
            <w:tcW w:type="dxa" w:w="432"/>
            <w:vAlign w:val="center"/>
          </w:tcPr>
          <w:p>
            <w:pPr>
              <w:spacing w:after="0"/>
            </w:pPr>
            <w:r/>
            <w:r>
              <w:rPr>
                <w:rFonts w:ascii="Aptos" w:hAnsi="Aptos"/>
                <w:b w:val="0"/>
                <w:color w:val="1F2937"/>
                <w:sz w:val="13"/>
              </w:rPr>
              <w:t>1</w:t>
            </w:r>
          </w:p>
        </w:tc>
        <w:tc>
          <w:tcPr>
            <w:tcW w:type="dxa" w:w="1440"/>
            <w:vAlign w:val="center"/>
          </w:tcPr>
          <w:p>
            <w:pPr>
              <w:spacing w:after="0"/>
            </w:pPr>
            <w:r/>
            <w:r>
              <w:rPr>
                <w:rFonts w:ascii="Aptos" w:hAnsi="Aptos"/>
                <w:b w:val="0"/>
                <w:color w:val="1F2937"/>
                <w:sz w:val="13"/>
              </w:rPr>
              <w:t>REST Entry</w:t>
            </w:r>
          </w:p>
        </w:tc>
        <w:tc>
          <w:tcPr>
            <w:tcW w:type="dxa" w:w="2232"/>
            <w:vAlign w:val="center"/>
          </w:tcPr>
          <w:p>
            <w:pPr>
              <w:spacing w:after="0"/>
            </w:pPr>
            <w:r/>
            <w:r>
              <w:rPr>
                <w:rFonts w:ascii="Aptos" w:hAnsi="Aptos"/>
                <w:b w:val="0"/>
                <w:color w:val="1F2937"/>
                <w:sz w:val="13"/>
              </w:rPr>
              <w:t>OrderRestController.java</w:t>
            </w:r>
          </w:p>
        </w:tc>
        <w:tc>
          <w:tcPr>
            <w:tcW w:type="dxa" w:w="1944"/>
            <w:vAlign w:val="center"/>
          </w:tcPr>
          <w:p>
            <w:pPr>
              <w:spacing w:after="0"/>
            </w:pPr>
            <w:r/>
            <w:r>
              <w:rPr>
                <w:rFonts w:ascii="Aptos" w:hAnsi="Aptos"/>
                <w:b w:val="0"/>
                <w:color w:val="1F2937"/>
                <w:sz w:val="13"/>
              </w:rPr>
              <w:t>OrderRestController</w:t>
            </w:r>
          </w:p>
        </w:tc>
        <w:tc>
          <w:tcPr>
            <w:tcW w:type="dxa" w:w="2448"/>
            <w:vAlign w:val="center"/>
          </w:tcPr>
          <w:p>
            <w:pPr>
              <w:spacing w:after="0"/>
            </w:pPr>
            <w:r/>
            <w:r>
              <w:rPr>
                <w:rFonts w:ascii="Aptos" w:hAnsi="Aptos"/>
                <w:b w:val="0"/>
                <w:color w:val="1F2937"/>
                <w:sz w:val="13"/>
              </w:rPr>
              <w:t>create()</w:t>
            </w:r>
          </w:p>
        </w:tc>
        <w:tc>
          <w:tcPr>
            <w:tcW w:type="dxa" w:w="792"/>
            <w:vAlign w:val="center"/>
          </w:tcPr>
          <w:p>
            <w:pPr>
              <w:spacing w:after="0"/>
            </w:pPr>
            <w:r/>
            <w:r>
              <w:rPr>
                <w:rFonts w:ascii="Aptos" w:hAnsi="Aptos"/>
                <w:b w:val="0"/>
                <w:color w:val="1F2937"/>
                <w:sz w:val="13"/>
              </w:rPr>
              <w:t>98–111</w:t>
            </w:r>
          </w:p>
        </w:tc>
        <w:tc>
          <w:tcPr>
            <w:tcW w:type="dxa" w:w="1944"/>
            <w:vAlign w:val="center"/>
          </w:tcPr>
          <w:p>
            <w:pPr>
              <w:spacing w:after="0"/>
            </w:pPr>
            <w:r/>
            <w:r>
              <w:rPr>
                <w:rFonts w:ascii="Aptos" w:hAnsi="Aptos"/>
                <w:b w:val="0"/>
                <w:color w:val="1F2937"/>
                <w:sz w:val="13"/>
              </w:rPr>
              <w:t>REST endpoint</w:t>
            </w:r>
          </w:p>
        </w:tc>
      </w:tr>
      <w:tr>
        <w:tc>
          <w:tcPr>
            <w:tcW w:type="dxa" w:w="432"/>
            <w:shd w:fill="F4F7FA"/>
            <w:vAlign w:val="center"/>
          </w:tcPr>
          <w:p>
            <w:pPr>
              <w:spacing w:after="0"/>
            </w:pPr>
            <w:r/>
            <w:r>
              <w:rPr>
                <w:rFonts w:ascii="Aptos" w:hAnsi="Aptos"/>
                <w:b w:val="0"/>
                <w:color w:val="1F2937"/>
                <w:sz w:val="13"/>
              </w:rPr>
              <w:t>2</w:t>
            </w:r>
          </w:p>
        </w:tc>
        <w:tc>
          <w:tcPr>
            <w:tcW w:type="dxa" w:w="1440"/>
            <w:shd w:fill="F4F7FA"/>
            <w:vAlign w:val="center"/>
          </w:tcPr>
          <w:p>
            <w:pPr>
              <w:spacing w:after="0"/>
            </w:pPr>
            <w:r/>
            <w:r>
              <w:rPr>
                <w:rFonts w:ascii="Aptos" w:hAnsi="Aptos"/>
                <w:b w:val="0"/>
                <w:color w:val="1F2937"/>
                <w:sz w:val="13"/>
              </w:rPr>
              <w:t>SYNC Order Creation</w:t>
            </w:r>
          </w:p>
        </w:tc>
        <w:tc>
          <w:tcPr>
            <w:tcW w:type="dxa" w:w="2232"/>
            <w:shd w:fill="F4F7FA"/>
            <w:vAlign w:val="center"/>
          </w:tcPr>
          <w:p>
            <w:pPr>
              <w:spacing w:after="0"/>
            </w:pPr>
            <w:r/>
            <w:r>
              <w:rPr>
                <w:rFonts w:ascii="Aptos" w:hAnsi="Aptos"/>
                <w:b w:val="0"/>
                <w:color w:val="1F2937"/>
                <w:sz w:val="13"/>
              </w:rPr>
              <w:t>OrderServiceImpl.java</w:t>
            </w:r>
          </w:p>
        </w:tc>
        <w:tc>
          <w:tcPr>
            <w:tcW w:type="dxa" w:w="1944"/>
            <w:shd w:fill="F4F7FA"/>
            <w:vAlign w:val="center"/>
          </w:tcPr>
          <w:p>
            <w:pPr>
              <w:spacing w:after="0"/>
            </w:pPr>
            <w:r/>
            <w:r>
              <w:rPr>
                <w:rFonts w:ascii="Aptos" w:hAnsi="Aptos"/>
                <w:b w:val="0"/>
                <w:color w:val="1F2937"/>
                <w:sz w:val="13"/>
              </w:rPr>
              <w:t>OrderServiceImpl</w:t>
            </w:r>
          </w:p>
        </w:tc>
        <w:tc>
          <w:tcPr>
            <w:tcW w:type="dxa" w:w="2448"/>
            <w:shd w:fill="F4F7FA"/>
            <w:vAlign w:val="center"/>
          </w:tcPr>
          <w:p>
            <w:pPr>
              <w:spacing w:after="0"/>
            </w:pPr>
            <w:r/>
            <w:r>
              <w:rPr>
                <w:rFonts w:ascii="Aptos" w:hAnsi="Aptos"/>
                <w:b w:val="0"/>
                <w:color w:val="1F2937"/>
                <w:sz w:val="13"/>
              </w:rPr>
              <w:t>createOrder()</w:t>
            </w:r>
          </w:p>
        </w:tc>
        <w:tc>
          <w:tcPr>
            <w:tcW w:type="dxa" w:w="792"/>
            <w:shd w:fill="F4F7FA"/>
            <w:vAlign w:val="center"/>
          </w:tcPr>
          <w:p>
            <w:pPr>
              <w:spacing w:after="0"/>
            </w:pPr>
            <w:r/>
            <w:r>
              <w:rPr>
                <w:rFonts w:ascii="Aptos" w:hAnsi="Aptos"/>
                <w:b w:val="0"/>
                <w:color w:val="1F2937"/>
                <w:sz w:val="13"/>
              </w:rPr>
              <w:t>240–312</w:t>
            </w:r>
          </w:p>
        </w:tc>
        <w:tc>
          <w:tcPr>
            <w:tcW w:type="dxa" w:w="1944"/>
            <w:shd w:fill="F4F7FA"/>
            <w:vAlign w:val="center"/>
          </w:tcPr>
          <w:p>
            <w:pPr>
              <w:spacing w:after="0"/>
            </w:pPr>
            <w:r/>
            <w:r>
              <w:rPr>
                <w:rFonts w:ascii="Aptos" w:hAnsi="Aptos"/>
                <w:b w:val="0"/>
                <w:color w:val="1F2937"/>
                <w:sz w:val="13"/>
              </w:rPr>
              <w:t>Validate, convert, persist, queue</w:t>
            </w:r>
          </w:p>
        </w:tc>
      </w:tr>
      <w:tr>
        <w:tc>
          <w:tcPr>
            <w:tcW w:type="dxa" w:w="432"/>
            <w:vAlign w:val="center"/>
          </w:tcPr>
          <w:p>
            <w:pPr>
              <w:spacing w:after="0"/>
            </w:pPr>
            <w:r/>
            <w:r>
              <w:rPr>
                <w:rFonts w:ascii="Aptos" w:hAnsi="Aptos"/>
                <w:b w:val="0"/>
                <w:color w:val="1F2937"/>
                <w:sz w:val="13"/>
              </w:rPr>
              <w:t>3</w:t>
            </w:r>
          </w:p>
        </w:tc>
        <w:tc>
          <w:tcPr>
            <w:tcW w:type="dxa" w:w="1440"/>
            <w:vAlign w:val="center"/>
          </w:tcPr>
          <w:p>
            <w:pPr>
              <w:spacing w:after="0"/>
            </w:pPr>
            <w:r/>
            <w:r>
              <w:rPr>
                <w:rFonts w:ascii="Aptos" w:hAnsi="Aptos"/>
                <w:b w:val="0"/>
                <w:color w:val="1F2937"/>
                <w:sz w:val="13"/>
              </w:rPr>
              <w:t>SYNC Proration</w:t>
            </w:r>
          </w:p>
        </w:tc>
        <w:tc>
          <w:tcPr>
            <w:tcW w:type="dxa" w:w="2232"/>
            <w:vAlign w:val="center"/>
          </w:tcPr>
          <w:p>
            <w:pPr>
              <w:spacing w:after="0"/>
            </w:pPr>
            <w:r/>
            <w:r>
              <w:rPr>
                <w:rFonts w:ascii="Aptos" w:hAnsi="Aptos"/>
                <w:b w:val="0"/>
                <w:color w:val="1F2937"/>
                <w:sz w:val="13"/>
              </w:rPr>
              <w:t>OrderServiceImpl.java</w:t>
            </w:r>
          </w:p>
        </w:tc>
        <w:tc>
          <w:tcPr>
            <w:tcW w:type="dxa" w:w="1944"/>
            <w:vAlign w:val="center"/>
          </w:tcPr>
          <w:p>
            <w:pPr>
              <w:spacing w:after="0"/>
            </w:pPr>
            <w:r/>
            <w:r>
              <w:rPr>
                <w:rFonts w:ascii="Aptos" w:hAnsi="Aptos"/>
                <w:b w:val="0"/>
                <w:color w:val="1F2937"/>
                <w:sz w:val="13"/>
              </w:rPr>
              <w:t>OrderServiceImpl</w:t>
            </w:r>
          </w:p>
        </w:tc>
        <w:tc>
          <w:tcPr>
            <w:tcW w:type="dxa" w:w="2448"/>
            <w:vAlign w:val="center"/>
          </w:tcPr>
          <w:p>
            <w:pPr>
              <w:spacing w:after="0"/>
            </w:pPr>
            <w:r/>
            <w:r>
              <w:rPr>
                <w:rFonts w:ascii="Aptos" w:hAnsi="Aptos"/>
                <w:b w:val="0"/>
                <w:color w:val="1F2937"/>
                <w:sz w:val="13"/>
              </w:rPr>
              <w:t>calculateAndSetUpgradeHWFirstMonthProratedCharges()</w:t>
            </w:r>
          </w:p>
        </w:tc>
        <w:tc>
          <w:tcPr>
            <w:tcW w:type="dxa" w:w="792"/>
            <w:vAlign w:val="center"/>
          </w:tcPr>
          <w:p>
            <w:pPr>
              <w:spacing w:after="0"/>
            </w:pPr>
            <w:r/>
            <w:r>
              <w:rPr>
                <w:rFonts w:ascii="Aptos" w:hAnsi="Aptos"/>
                <w:b w:val="0"/>
                <w:color w:val="1F2937"/>
                <w:sz w:val="13"/>
              </w:rPr>
              <w:t>336–391</w:t>
            </w:r>
          </w:p>
        </w:tc>
        <w:tc>
          <w:tcPr>
            <w:tcW w:type="dxa" w:w="1944"/>
            <w:vAlign w:val="center"/>
          </w:tcPr>
          <w:p>
            <w:pPr>
              <w:spacing w:after="0"/>
            </w:pPr>
            <w:r/>
            <w:r>
              <w:rPr>
                <w:rFonts w:ascii="Aptos" w:hAnsi="Aptos"/>
                <w:b w:val="0"/>
                <w:color w:val="1F2937"/>
                <w:sz w:val="13"/>
              </w:rPr>
              <w:t>Calculate prorated charges for upgrades</w:t>
            </w:r>
          </w:p>
        </w:tc>
      </w:tr>
      <w:tr>
        <w:tc>
          <w:tcPr>
            <w:tcW w:type="dxa" w:w="432"/>
            <w:shd w:fill="F4F7FA"/>
            <w:vAlign w:val="center"/>
          </w:tcPr>
          <w:p>
            <w:pPr>
              <w:spacing w:after="0"/>
            </w:pPr>
            <w:r/>
            <w:r>
              <w:rPr>
                <w:rFonts w:ascii="Aptos" w:hAnsi="Aptos"/>
                <w:b w:val="0"/>
                <w:color w:val="1F2937"/>
                <w:sz w:val="13"/>
              </w:rPr>
              <w:t>4</w:t>
            </w:r>
          </w:p>
        </w:tc>
        <w:tc>
          <w:tcPr>
            <w:tcW w:type="dxa" w:w="1440"/>
            <w:shd w:fill="F4F7FA"/>
            <w:vAlign w:val="center"/>
          </w:tcPr>
          <w:p>
            <w:pPr>
              <w:spacing w:after="0"/>
            </w:pPr>
            <w:r/>
            <w:r>
              <w:rPr>
                <w:rFonts w:ascii="Aptos" w:hAnsi="Aptos"/>
                <w:b w:val="0"/>
                <w:color w:val="1F2937"/>
                <w:sz w:val="13"/>
              </w:rPr>
              <w:t>ASYNC Build &amp; Send</w:t>
            </w:r>
          </w:p>
        </w:tc>
        <w:tc>
          <w:tcPr>
            <w:tcW w:type="dxa" w:w="2232"/>
            <w:shd w:fill="F4F7FA"/>
            <w:vAlign w:val="center"/>
          </w:tcPr>
          <w:p>
            <w:pPr>
              <w:spacing w:after="0"/>
            </w:pPr>
            <w:r/>
            <w:r>
              <w:rPr>
                <w:rFonts w:ascii="Aptos" w:hAnsi="Aptos"/>
                <w:b w:val="0"/>
                <w:color w:val="1F2937"/>
                <w:sz w:val="13"/>
              </w:rPr>
              <w:t>OrderServiceImpl.java</w:t>
            </w:r>
          </w:p>
        </w:tc>
        <w:tc>
          <w:tcPr>
            <w:tcW w:type="dxa" w:w="1944"/>
            <w:shd w:fill="F4F7FA"/>
            <w:vAlign w:val="center"/>
          </w:tcPr>
          <w:p>
            <w:pPr>
              <w:spacing w:after="0"/>
            </w:pPr>
            <w:r/>
            <w:r>
              <w:rPr>
                <w:rFonts w:ascii="Aptos" w:hAnsi="Aptos"/>
                <w:b w:val="0"/>
                <w:color w:val="1F2937"/>
                <w:sz w:val="13"/>
              </w:rPr>
              <w:t>OrderServiceImpl</w:t>
            </w:r>
          </w:p>
        </w:tc>
        <w:tc>
          <w:tcPr>
            <w:tcW w:type="dxa" w:w="2448"/>
            <w:shd w:fill="F4F7FA"/>
            <w:vAlign w:val="center"/>
          </w:tcPr>
          <w:p>
            <w:pPr>
              <w:spacing w:after="0"/>
            </w:pPr>
            <w:r/>
            <w:r>
              <w:rPr>
                <w:rFonts w:ascii="Aptos" w:hAnsi="Aptos"/>
                <w:b w:val="0"/>
                <w:color w:val="1F2937"/>
                <w:sz w:val="13"/>
              </w:rPr>
              <w:t>buildAndSendOrderRequestToGekko()</w:t>
            </w:r>
          </w:p>
        </w:tc>
        <w:tc>
          <w:tcPr>
            <w:tcW w:type="dxa" w:w="792"/>
            <w:shd w:fill="F4F7FA"/>
            <w:vAlign w:val="center"/>
          </w:tcPr>
          <w:p>
            <w:pPr>
              <w:spacing w:after="0"/>
            </w:pPr>
            <w:r/>
            <w:r>
              <w:rPr>
                <w:rFonts w:ascii="Aptos" w:hAnsi="Aptos"/>
                <w:b w:val="0"/>
                <w:color w:val="1F2937"/>
                <w:sz w:val="13"/>
              </w:rPr>
              <w:t>596–650</w:t>
            </w:r>
          </w:p>
        </w:tc>
        <w:tc>
          <w:tcPr>
            <w:tcW w:type="dxa" w:w="1944"/>
            <w:shd w:fill="F4F7FA"/>
            <w:vAlign w:val="center"/>
          </w:tcPr>
          <w:p>
            <w:pPr>
              <w:spacing w:after="0"/>
            </w:pPr>
            <w:r/>
            <w:r>
              <w:rPr>
                <w:rFonts w:ascii="Aptos" w:hAnsi="Aptos"/>
                <w:b w:val="0"/>
                <w:color w:val="1F2937"/>
                <w:sz w:val="13"/>
              </w:rPr>
              <w:t>Fetch data, build request, send to Gekko</w:t>
            </w:r>
          </w:p>
        </w:tc>
      </w:tr>
      <w:tr>
        <w:tc>
          <w:tcPr>
            <w:tcW w:type="dxa" w:w="432"/>
            <w:vAlign w:val="center"/>
          </w:tcPr>
          <w:p>
            <w:pPr>
              <w:spacing w:after="0"/>
            </w:pPr>
            <w:r/>
            <w:r>
              <w:rPr>
                <w:rFonts w:ascii="Aptos" w:hAnsi="Aptos"/>
                <w:b w:val="0"/>
                <w:color w:val="1F2937"/>
                <w:sz w:val="13"/>
              </w:rPr>
              <w:t>5</w:t>
            </w:r>
          </w:p>
        </w:tc>
        <w:tc>
          <w:tcPr>
            <w:tcW w:type="dxa" w:w="1440"/>
            <w:vAlign w:val="center"/>
          </w:tcPr>
          <w:p>
            <w:pPr>
              <w:spacing w:after="0"/>
            </w:pPr>
            <w:r/>
            <w:r>
              <w:rPr>
                <w:rFonts w:ascii="Aptos" w:hAnsi="Aptos"/>
                <w:b w:val="0"/>
                <w:color w:val="1F2937"/>
                <w:sz w:val="13"/>
              </w:rPr>
              <w:t>Mapping: Gekko Request</w:t>
            </w:r>
          </w:p>
        </w:tc>
        <w:tc>
          <w:tcPr>
            <w:tcW w:type="dxa" w:w="2232"/>
            <w:vAlign w:val="center"/>
          </w:tcPr>
          <w:p>
            <w:pPr>
              <w:spacing w:after="0"/>
            </w:pPr>
            <w:r/>
            <w:r>
              <w:rPr>
                <w:rFonts w:ascii="Aptos" w:hAnsi="Aptos"/>
                <w:b w:val="0"/>
                <w:color w:val="1F2937"/>
                <w:sz w:val="13"/>
              </w:rPr>
              <w:t>OrderMapper.java</w:t>
            </w:r>
          </w:p>
        </w:tc>
        <w:tc>
          <w:tcPr>
            <w:tcW w:type="dxa" w:w="1944"/>
            <w:vAlign w:val="center"/>
          </w:tcPr>
          <w:p>
            <w:pPr>
              <w:spacing w:after="0"/>
            </w:pPr>
            <w:r/>
            <w:r>
              <w:rPr>
                <w:rFonts w:ascii="Aptos" w:hAnsi="Aptos"/>
                <w:b w:val="0"/>
                <w:color w:val="1F2937"/>
                <w:sz w:val="13"/>
              </w:rPr>
              <w:t>OrderMapper</w:t>
            </w:r>
          </w:p>
        </w:tc>
        <w:tc>
          <w:tcPr>
            <w:tcW w:type="dxa" w:w="2448"/>
            <w:vAlign w:val="center"/>
          </w:tcPr>
          <w:p>
            <w:pPr>
              <w:spacing w:after="0"/>
            </w:pPr>
            <w:r/>
            <w:r>
              <w:rPr>
                <w:rFonts w:ascii="Aptos" w:hAnsi="Aptos"/>
                <w:b w:val="0"/>
                <w:color w:val="1F2937"/>
                <w:sz w:val="13"/>
              </w:rPr>
              <w:t>toGekkoOrderRequest()</w:t>
            </w:r>
          </w:p>
        </w:tc>
        <w:tc>
          <w:tcPr>
            <w:tcW w:type="dxa" w:w="792"/>
            <w:vAlign w:val="center"/>
          </w:tcPr>
          <w:p>
            <w:pPr>
              <w:spacing w:after="0"/>
            </w:pPr>
            <w:r/>
            <w:r>
              <w:rPr>
                <w:rFonts w:ascii="Aptos" w:hAnsi="Aptos"/>
                <w:b w:val="0"/>
                <w:color w:val="1F2937"/>
                <w:sz w:val="13"/>
              </w:rPr>
              <w:t>84–121</w:t>
            </w:r>
          </w:p>
        </w:tc>
        <w:tc>
          <w:tcPr>
            <w:tcW w:type="dxa" w:w="1944"/>
            <w:vAlign w:val="center"/>
          </w:tcPr>
          <w:p>
            <w:pPr>
              <w:spacing w:after="0"/>
            </w:pPr>
            <w:r/>
            <w:r>
              <w:rPr>
                <w:rFonts w:ascii="Aptos" w:hAnsi="Aptos"/>
                <w:b w:val="0"/>
                <w:color w:val="1F2937"/>
                <w:sz w:val="13"/>
              </w:rPr>
              <w:t>Build GekkoOrderRequest structure</w:t>
            </w:r>
          </w:p>
        </w:tc>
      </w:tr>
      <w:tr>
        <w:tc>
          <w:tcPr>
            <w:tcW w:type="dxa" w:w="432"/>
            <w:shd w:fill="F4F7FA"/>
            <w:vAlign w:val="center"/>
          </w:tcPr>
          <w:p>
            <w:pPr>
              <w:spacing w:after="0"/>
            </w:pPr>
            <w:r/>
            <w:r>
              <w:rPr>
                <w:rFonts w:ascii="Aptos" w:hAnsi="Aptos"/>
                <w:b w:val="0"/>
                <w:color w:val="1F2937"/>
                <w:sz w:val="13"/>
              </w:rPr>
              <w:t>6</w:t>
            </w:r>
          </w:p>
        </w:tc>
        <w:tc>
          <w:tcPr>
            <w:tcW w:type="dxa" w:w="1440"/>
            <w:shd w:fill="F4F7FA"/>
            <w:vAlign w:val="center"/>
          </w:tcPr>
          <w:p>
            <w:pPr>
              <w:spacing w:after="0"/>
            </w:pPr>
            <w:r/>
            <w:r>
              <w:rPr>
                <w:rFonts w:ascii="Aptos" w:hAnsi="Aptos"/>
                <w:b w:val="0"/>
                <w:color w:val="1F2937"/>
                <w:sz w:val="13"/>
              </w:rPr>
              <w:t>Upgrade Metadata</w:t>
            </w:r>
          </w:p>
        </w:tc>
        <w:tc>
          <w:tcPr>
            <w:tcW w:type="dxa" w:w="2232"/>
            <w:shd w:fill="F4F7FA"/>
            <w:vAlign w:val="center"/>
          </w:tcPr>
          <w:p>
            <w:pPr>
              <w:spacing w:after="0"/>
            </w:pPr>
            <w:r/>
            <w:r>
              <w:rPr>
                <w:rFonts w:ascii="Aptos" w:hAnsi="Aptos"/>
                <w:b w:val="0"/>
                <w:color w:val="1F2937"/>
                <w:sz w:val="13"/>
              </w:rPr>
              <w:t>OrderMapper.java</w:t>
            </w:r>
          </w:p>
        </w:tc>
        <w:tc>
          <w:tcPr>
            <w:tcW w:type="dxa" w:w="1944"/>
            <w:shd w:fill="F4F7FA"/>
            <w:vAlign w:val="center"/>
          </w:tcPr>
          <w:p>
            <w:pPr>
              <w:spacing w:after="0"/>
            </w:pPr>
            <w:r/>
            <w:r>
              <w:rPr>
                <w:rFonts w:ascii="Aptos" w:hAnsi="Aptos"/>
                <w:b w:val="0"/>
                <w:color w:val="1F2937"/>
                <w:sz w:val="13"/>
              </w:rPr>
              <w:t>OrderMapper</w:t>
            </w:r>
          </w:p>
        </w:tc>
        <w:tc>
          <w:tcPr>
            <w:tcW w:type="dxa" w:w="2448"/>
            <w:shd w:fill="F4F7FA"/>
            <w:vAlign w:val="center"/>
          </w:tcPr>
          <w:p>
            <w:pPr>
              <w:spacing w:after="0"/>
            </w:pPr>
            <w:r/>
            <w:r>
              <w:rPr>
                <w:rFonts w:ascii="Aptos" w:hAnsi="Aptos"/>
                <w:b w:val="0"/>
                <w:color w:val="1F2937"/>
                <w:sz w:val="13"/>
              </w:rPr>
              <w:t>getUpgradeOrderAdditionalInfo()</w:t>
            </w:r>
          </w:p>
        </w:tc>
        <w:tc>
          <w:tcPr>
            <w:tcW w:type="dxa" w:w="792"/>
            <w:shd w:fill="F4F7FA"/>
            <w:vAlign w:val="center"/>
          </w:tcPr>
          <w:p>
            <w:pPr>
              <w:spacing w:after="0"/>
            </w:pPr>
            <w:r/>
            <w:r>
              <w:rPr>
                <w:rFonts w:ascii="Aptos" w:hAnsi="Aptos"/>
                <w:b w:val="0"/>
                <w:color w:val="1F2937"/>
                <w:sz w:val="13"/>
              </w:rPr>
              <w:t>198–229</w:t>
            </w:r>
          </w:p>
        </w:tc>
        <w:tc>
          <w:tcPr>
            <w:tcW w:type="dxa" w:w="1944"/>
            <w:shd w:fill="F4F7FA"/>
            <w:vAlign w:val="center"/>
          </w:tcPr>
          <w:p>
            <w:pPr>
              <w:spacing w:after="0"/>
            </w:pPr>
            <w:r/>
            <w:r>
              <w:rPr>
                <w:rFonts w:ascii="Aptos" w:hAnsi="Aptos"/>
                <w:b w:val="0"/>
                <w:color w:val="1F2937"/>
                <w:sz w:val="13"/>
              </w:rPr>
              <w:t>Add upgrade flags &amp; parent order ID</w:t>
            </w:r>
          </w:p>
        </w:tc>
      </w:tr>
      <w:tr>
        <w:tc>
          <w:tcPr>
            <w:tcW w:type="dxa" w:w="432"/>
            <w:vAlign w:val="center"/>
          </w:tcPr>
          <w:p>
            <w:pPr>
              <w:spacing w:after="0"/>
            </w:pPr>
            <w:r/>
            <w:r>
              <w:rPr>
                <w:rFonts w:ascii="Aptos" w:hAnsi="Aptos"/>
                <w:b w:val="0"/>
                <w:color w:val="1F2937"/>
                <w:sz w:val="13"/>
              </w:rPr>
              <w:t>7</w:t>
            </w:r>
          </w:p>
        </w:tc>
        <w:tc>
          <w:tcPr>
            <w:tcW w:type="dxa" w:w="1440"/>
            <w:vAlign w:val="center"/>
          </w:tcPr>
          <w:p>
            <w:pPr>
              <w:spacing w:after="0"/>
            </w:pPr>
            <w:r/>
            <w:r>
              <w:rPr>
                <w:rFonts w:ascii="Aptos" w:hAnsi="Aptos"/>
                <w:b w:val="0"/>
                <w:color w:val="1F2937"/>
                <w:sz w:val="13"/>
              </w:rPr>
              <w:t>Route Decision</w:t>
            </w:r>
          </w:p>
        </w:tc>
        <w:tc>
          <w:tcPr>
            <w:tcW w:type="dxa" w:w="2232"/>
            <w:vAlign w:val="center"/>
          </w:tcPr>
          <w:p>
            <w:pPr>
              <w:spacing w:after="0"/>
            </w:pPr>
            <w:r/>
            <w:r>
              <w:rPr>
                <w:rFonts w:ascii="Aptos" w:hAnsi="Aptos"/>
                <w:b w:val="0"/>
                <w:color w:val="1F2937"/>
                <w:sz w:val="13"/>
              </w:rPr>
              <w:t>OrderServiceImpl.java</w:t>
            </w:r>
          </w:p>
        </w:tc>
        <w:tc>
          <w:tcPr>
            <w:tcW w:type="dxa" w:w="1944"/>
            <w:vAlign w:val="center"/>
          </w:tcPr>
          <w:p>
            <w:pPr>
              <w:spacing w:after="0"/>
            </w:pPr>
            <w:r/>
            <w:r>
              <w:rPr>
                <w:rFonts w:ascii="Aptos" w:hAnsi="Aptos"/>
                <w:b w:val="0"/>
                <w:color w:val="1F2937"/>
                <w:sz w:val="13"/>
              </w:rPr>
              <w:t>OrderServiceImpl</w:t>
            </w:r>
          </w:p>
        </w:tc>
        <w:tc>
          <w:tcPr>
            <w:tcW w:type="dxa" w:w="2448"/>
            <w:vAlign w:val="center"/>
          </w:tcPr>
          <w:p>
            <w:pPr>
              <w:spacing w:after="0"/>
            </w:pPr>
            <w:r/>
            <w:r>
              <w:rPr>
                <w:rFonts w:ascii="Aptos" w:hAnsi="Aptos"/>
                <w:b w:val="0"/>
                <w:color w:val="1F2937"/>
                <w:sz w:val="13"/>
              </w:rPr>
              <w:t>postGekkoOrderRequest()</w:t>
            </w:r>
          </w:p>
        </w:tc>
        <w:tc>
          <w:tcPr>
            <w:tcW w:type="dxa" w:w="792"/>
            <w:vAlign w:val="center"/>
          </w:tcPr>
          <w:p>
            <w:pPr>
              <w:spacing w:after="0"/>
            </w:pPr>
            <w:r/>
            <w:r>
              <w:rPr>
                <w:rFonts w:ascii="Aptos" w:hAnsi="Aptos"/>
                <w:b w:val="0"/>
                <w:color w:val="1F2937"/>
                <w:sz w:val="13"/>
              </w:rPr>
              <w:t>1503–1518</w:t>
            </w:r>
          </w:p>
        </w:tc>
        <w:tc>
          <w:tcPr>
            <w:tcW w:type="dxa" w:w="1944"/>
            <w:vAlign w:val="center"/>
          </w:tcPr>
          <w:p>
            <w:pPr>
              <w:spacing w:after="0"/>
            </w:pPr>
            <w:r/>
            <w:r>
              <w:rPr>
                <w:rFonts w:ascii="Aptos" w:hAnsi="Aptos"/>
                <w:b w:val="0"/>
                <w:color w:val="1F2937"/>
                <w:sz w:val="13"/>
              </w:rPr>
              <w:t>Route to proxy or direct</w:t>
            </w:r>
          </w:p>
        </w:tc>
      </w:tr>
      <w:tr>
        <w:tc>
          <w:tcPr>
            <w:tcW w:type="dxa" w:w="432"/>
            <w:shd w:fill="F4F7FA"/>
            <w:vAlign w:val="center"/>
          </w:tcPr>
          <w:p>
            <w:pPr>
              <w:spacing w:after="0"/>
            </w:pPr>
            <w:r/>
            <w:r>
              <w:rPr>
                <w:rFonts w:ascii="Aptos" w:hAnsi="Aptos"/>
                <w:b w:val="0"/>
                <w:color w:val="1F2937"/>
                <w:sz w:val="13"/>
              </w:rPr>
              <w:t>8</w:t>
            </w:r>
          </w:p>
        </w:tc>
        <w:tc>
          <w:tcPr>
            <w:tcW w:type="dxa" w:w="1440"/>
            <w:shd w:fill="F4F7FA"/>
            <w:vAlign w:val="center"/>
          </w:tcPr>
          <w:p>
            <w:pPr>
              <w:spacing w:after="0"/>
            </w:pPr>
            <w:r/>
            <w:r>
              <w:rPr>
                <w:rFonts w:ascii="Aptos" w:hAnsi="Aptos"/>
                <w:b w:val="0"/>
                <w:color w:val="1F2937"/>
                <w:sz w:val="13"/>
              </w:rPr>
              <w:t>HTTP to Gekko (Direct)</w:t>
            </w:r>
          </w:p>
        </w:tc>
        <w:tc>
          <w:tcPr>
            <w:tcW w:type="dxa" w:w="2232"/>
            <w:shd w:fill="F4F7FA"/>
            <w:vAlign w:val="center"/>
          </w:tcPr>
          <w:p>
            <w:pPr>
              <w:spacing w:after="0"/>
            </w:pPr>
            <w:r/>
            <w:r>
              <w:rPr>
                <w:rFonts w:ascii="Aptos" w:hAnsi="Aptos"/>
                <w:b w:val="0"/>
                <w:color w:val="1F2937"/>
                <w:sz w:val="13"/>
              </w:rPr>
              <w:t>GekkoWebClientRestServiceImpl.java</w:t>
            </w:r>
          </w:p>
        </w:tc>
        <w:tc>
          <w:tcPr>
            <w:tcW w:type="dxa" w:w="1944"/>
            <w:shd w:fill="F4F7FA"/>
            <w:vAlign w:val="center"/>
          </w:tcPr>
          <w:p>
            <w:pPr>
              <w:spacing w:after="0"/>
            </w:pPr>
            <w:r/>
            <w:r>
              <w:rPr>
                <w:rFonts w:ascii="Aptos" w:hAnsi="Aptos"/>
                <w:b w:val="0"/>
                <w:color w:val="1F2937"/>
                <w:sz w:val="13"/>
              </w:rPr>
              <w:t>GekkoWebClientRestServiceImpl</w:t>
            </w:r>
          </w:p>
        </w:tc>
        <w:tc>
          <w:tcPr>
            <w:tcW w:type="dxa" w:w="2448"/>
            <w:shd w:fill="F4F7FA"/>
            <w:vAlign w:val="center"/>
          </w:tcPr>
          <w:p>
            <w:pPr>
              <w:spacing w:after="0"/>
            </w:pPr>
            <w:r/>
            <w:r>
              <w:rPr>
                <w:rFonts w:ascii="Aptos" w:hAnsi="Aptos"/>
                <w:b w:val="0"/>
                <w:color w:val="1F2937"/>
                <w:sz w:val="13"/>
              </w:rPr>
              <w:t>createOrder()</w:t>
            </w:r>
          </w:p>
        </w:tc>
        <w:tc>
          <w:tcPr>
            <w:tcW w:type="dxa" w:w="792"/>
            <w:shd w:fill="F4F7FA"/>
            <w:vAlign w:val="center"/>
          </w:tcPr>
          <w:p>
            <w:pPr>
              <w:spacing w:after="0"/>
            </w:pPr>
            <w:r/>
            <w:r>
              <w:rPr>
                <w:rFonts w:ascii="Aptos" w:hAnsi="Aptos"/>
                <w:b w:val="0"/>
                <w:color w:val="1F2937"/>
                <w:sz w:val="13"/>
              </w:rPr>
              <w:t>84–86</w:t>
            </w:r>
          </w:p>
        </w:tc>
        <w:tc>
          <w:tcPr>
            <w:tcW w:type="dxa" w:w="1944"/>
            <w:shd w:fill="F4F7FA"/>
            <w:vAlign w:val="center"/>
          </w:tcPr>
          <w:p>
            <w:pPr>
              <w:spacing w:after="0"/>
            </w:pPr>
            <w:r/>
            <w:r>
              <w:rPr>
                <w:rFonts w:ascii="Aptos" w:hAnsi="Aptos"/>
                <w:b w:val="0"/>
                <w:color w:val="1F2937"/>
                <w:sz w:val="13"/>
              </w:rPr>
              <w:t>Call Gekko directly</w:t>
            </w:r>
          </w:p>
        </w:tc>
      </w:tr>
      <w:tr>
        <w:tc>
          <w:tcPr>
            <w:tcW w:type="dxa" w:w="432"/>
            <w:vAlign w:val="center"/>
          </w:tcPr>
          <w:p>
            <w:pPr>
              <w:spacing w:after="0"/>
            </w:pPr>
            <w:r/>
            <w:r>
              <w:rPr>
                <w:rFonts w:ascii="Aptos" w:hAnsi="Aptos"/>
                <w:b w:val="0"/>
                <w:color w:val="1F2937"/>
                <w:sz w:val="13"/>
              </w:rPr>
              <w:t>9</w:t>
            </w:r>
          </w:p>
        </w:tc>
        <w:tc>
          <w:tcPr>
            <w:tcW w:type="dxa" w:w="1440"/>
            <w:vAlign w:val="center"/>
          </w:tcPr>
          <w:p>
            <w:pPr>
              <w:spacing w:after="0"/>
            </w:pPr>
            <w:r/>
            <w:r>
              <w:rPr>
                <w:rFonts w:ascii="Aptos" w:hAnsi="Aptos"/>
                <w:b w:val="0"/>
                <w:color w:val="1F2937"/>
                <w:sz w:val="13"/>
              </w:rPr>
              <w:t>HTTP Execution (Direct)</w:t>
            </w:r>
          </w:p>
        </w:tc>
        <w:tc>
          <w:tcPr>
            <w:tcW w:type="dxa" w:w="2232"/>
            <w:vAlign w:val="center"/>
          </w:tcPr>
          <w:p>
            <w:pPr>
              <w:spacing w:after="0"/>
            </w:pPr>
            <w:r/>
            <w:r>
              <w:rPr>
                <w:rFonts w:ascii="Aptos" w:hAnsi="Aptos"/>
                <w:b w:val="0"/>
                <w:color w:val="1F2937"/>
                <w:sz w:val="13"/>
              </w:rPr>
              <w:t>GekkoWebClientRestServiceImpl.java</w:t>
            </w:r>
          </w:p>
        </w:tc>
        <w:tc>
          <w:tcPr>
            <w:tcW w:type="dxa" w:w="1944"/>
            <w:vAlign w:val="center"/>
          </w:tcPr>
          <w:p>
            <w:pPr>
              <w:spacing w:after="0"/>
            </w:pPr>
            <w:r/>
            <w:r>
              <w:rPr>
                <w:rFonts w:ascii="Aptos" w:hAnsi="Aptos"/>
                <w:b w:val="0"/>
                <w:color w:val="1F2937"/>
                <w:sz w:val="13"/>
              </w:rPr>
              <w:t>GekkoWebClientRestServiceImpl</w:t>
            </w:r>
          </w:p>
        </w:tc>
        <w:tc>
          <w:tcPr>
            <w:tcW w:type="dxa" w:w="2448"/>
            <w:vAlign w:val="center"/>
          </w:tcPr>
          <w:p>
            <w:pPr>
              <w:spacing w:after="0"/>
            </w:pPr>
            <w:r/>
            <w:r>
              <w:rPr>
                <w:rFonts w:ascii="Aptos" w:hAnsi="Aptos"/>
                <w:b w:val="0"/>
                <w:color w:val="1F2937"/>
                <w:sz w:val="13"/>
              </w:rPr>
              <w:t>executePostRequest()</w:t>
            </w:r>
          </w:p>
        </w:tc>
        <w:tc>
          <w:tcPr>
            <w:tcW w:type="dxa" w:w="792"/>
            <w:vAlign w:val="center"/>
          </w:tcPr>
          <w:p>
            <w:pPr>
              <w:spacing w:after="0"/>
            </w:pPr>
            <w:r/>
            <w:r>
              <w:rPr>
                <w:rFonts w:ascii="Aptos" w:hAnsi="Aptos"/>
                <w:b w:val="0"/>
                <w:color w:val="1F2937"/>
                <w:sz w:val="13"/>
              </w:rPr>
              <w:t>123–149</w:t>
            </w:r>
          </w:p>
        </w:tc>
        <w:tc>
          <w:tcPr>
            <w:tcW w:type="dxa" w:w="1944"/>
            <w:vAlign w:val="center"/>
          </w:tcPr>
          <w:p>
            <w:pPr>
              <w:spacing w:after="0"/>
            </w:pPr>
            <w:r/>
            <w:r>
              <w:rPr>
                <w:rFonts w:ascii="Aptos" w:hAnsi="Aptos"/>
                <w:b w:val="0"/>
                <w:color w:val="1F2937"/>
                <w:sz w:val="13"/>
              </w:rPr>
              <w:t>Execute HTTP POST to Gekko</w:t>
            </w:r>
          </w:p>
        </w:tc>
      </w:tr>
      <w:tr>
        <w:tc>
          <w:tcPr>
            <w:tcW w:type="dxa" w:w="432"/>
            <w:shd w:fill="F4F7FA"/>
            <w:vAlign w:val="center"/>
          </w:tcPr>
          <w:p>
            <w:pPr>
              <w:spacing w:after="0"/>
            </w:pPr>
            <w:r/>
            <w:r>
              <w:rPr>
                <w:rFonts w:ascii="Aptos" w:hAnsi="Aptos"/>
                <w:b w:val="0"/>
                <w:color w:val="1F2937"/>
                <w:sz w:val="13"/>
              </w:rPr>
              <w:t>10</w:t>
            </w:r>
          </w:p>
        </w:tc>
        <w:tc>
          <w:tcPr>
            <w:tcW w:type="dxa" w:w="1440"/>
            <w:shd w:fill="F4F7FA"/>
            <w:vAlign w:val="center"/>
          </w:tcPr>
          <w:p>
            <w:pPr>
              <w:spacing w:after="0"/>
            </w:pPr>
            <w:r/>
            <w:r>
              <w:rPr>
                <w:rFonts w:ascii="Aptos" w:hAnsi="Aptos"/>
                <w:b w:val="0"/>
                <w:color w:val="1F2937"/>
                <w:sz w:val="13"/>
              </w:rPr>
              <w:t>OAuth Token (Direct)</w:t>
            </w:r>
          </w:p>
        </w:tc>
        <w:tc>
          <w:tcPr>
            <w:tcW w:type="dxa" w:w="2232"/>
            <w:shd w:fill="F4F7FA"/>
            <w:vAlign w:val="center"/>
          </w:tcPr>
          <w:p>
            <w:pPr>
              <w:spacing w:after="0"/>
            </w:pPr>
            <w:r/>
            <w:r>
              <w:rPr>
                <w:rFonts w:ascii="Aptos" w:hAnsi="Aptos"/>
                <w:b w:val="0"/>
                <w:color w:val="1F2937"/>
                <w:sz w:val="13"/>
              </w:rPr>
              <w:t>GekkoWebClientRestServiceImpl.java</w:t>
            </w:r>
          </w:p>
        </w:tc>
        <w:tc>
          <w:tcPr>
            <w:tcW w:type="dxa" w:w="1944"/>
            <w:shd w:fill="F4F7FA"/>
            <w:vAlign w:val="center"/>
          </w:tcPr>
          <w:p>
            <w:pPr>
              <w:spacing w:after="0"/>
            </w:pPr>
            <w:r/>
            <w:r>
              <w:rPr>
                <w:rFonts w:ascii="Aptos" w:hAnsi="Aptos"/>
                <w:b w:val="0"/>
                <w:color w:val="1F2937"/>
                <w:sz w:val="13"/>
              </w:rPr>
              <w:t>GekkoWebClientRestServiceImpl</w:t>
            </w:r>
          </w:p>
        </w:tc>
        <w:tc>
          <w:tcPr>
            <w:tcW w:type="dxa" w:w="2448"/>
            <w:shd w:fill="F4F7FA"/>
            <w:vAlign w:val="center"/>
          </w:tcPr>
          <w:p>
            <w:pPr>
              <w:spacing w:after="0"/>
            </w:pPr>
            <w:r/>
            <w:r>
              <w:rPr>
                <w:rFonts w:ascii="Aptos" w:hAnsi="Aptos"/>
                <w:b w:val="0"/>
                <w:color w:val="1F2937"/>
                <w:sz w:val="13"/>
              </w:rPr>
              <w:t>getTokenFromGekko()</w:t>
            </w:r>
          </w:p>
        </w:tc>
        <w:tc>
          <w:tcPr>
            <w:tcW w:type="dxa" w:w="792"/>
            <w:shd w:fill="F4F7FA"/>
            <w:vAlign w:val="center"/>
          </w:tcPr>
          <w:p>
            <w:pPr>
              <w:spacing w:after="0"/>
            </w:pPr>
            <w:r/>
            <w:r>
              <w:rPr>
                <w:rFonts w:ascii="Aptos" w:hAnsi="Aptos"/>
                <w:b w:val="0"/>
                <w:color w:val="1F2937"/>
                <w:sz w:val="13"/>
              </w:rPr>
              <w:t>212–242</w:t>
            </w:r>
          </w:p>
        </w:tc>
        <w:tc>
          <w:tcPr>
            <w:tcW w:type="dxa" w:w="1944"/>
            <w:shd w:fill="F4F7FA"/>
            <w:vAlign w:val="center"/>
          </w:tcPr>
          <w:p>
            <w:pPr>
              <w:spacing w:after="0"/>
            </w:pPr>
            <w:r/>
            <w:r>
              <w:rPr>
                <w:rFonts w:ascii="Aptos" w:hAnsi="Aptos"/>
                <w:b w:val="0"/>
                <w:color w:val="1F2937"/>
                <w:sz w:val="13"/>
              </w:rPr>
              <w:t>Get Bearer token from Gekko</w:t>
            </w:r>
          </w:p>
        </w:tc>
      </w:tr>
      <w:tr>
        <w:tc>
          <w:tcPr>
            <w:tcW w:type="dxa" w:w="432"/>
            <w:vAlign w:val="center"/>
          </w:tcPr>
          <w:p>
            <w:pPr>
              <w:spacing w:after="0"/>
            </w:pPr>
            <w:r/>
            <w:r>
              <w:rPr>
                <w:rFonts w:ascii="Aptos" w:hAnsi="Aptos"/>
                <w:b w:val="0"/>
                <w:color w:val="1F2937"/>
                <w:sz w:val="13"/>
              </w:rPr>
              <w:t>11</w:t>
            </w:r>
          </w:p>
        </w:tc>
        <w:tc>
          <w:tcPr>
            <w:tcW w:type="dxa" w:w="1440"/>
            <w:vAlign w:val="center"/>
          </w:tcPr>
          <w:p>
            <w:pPr>
              <w:spacing w:after="0"/>
            </w:pPr>
            <w:r/>
            <w:r>
              <w:rPr>
                <w:rFonts w:ascii="Aptos" w:hAnsi="Aptos"/>
                <w:b w:val="0"/>
                <w:color w:val="1F2937"/>
                <w:sz w:val="13"/>
              </w:rPr>
              <w:t>ClientCredentials</w:t>
            </w:r>
          </w:p>
        </w:tc>
        <w:tc>
          <w:tcPr>
            <w:tcW w:type="dxa" w:w="2232"/>
            <w:vAlign w:val="center"/>
          </w:tcPr>
          <w:p>
            <w:pPr>
              <w:spacing w:after="0"/>
            </w:pPr>
            <w:r/>
            <w:r>
              <w:rPr>
                <w:rFonts w:ascii="Aptos" w:hAnsi="Aptos"/>
                <w:b w:val="0"/>
                <w:color w:val="1F2937"/>
                <w:sz w:val="13"/>
              </w:rPr>
              <w:t>GekkoWebClientRestServiceImpl.java</w:t>
            </w:r>
          </w:p>
        </w:tc>
        <w:tc>
          <w:tcPr>
            <w:tcW w:type="dxa" w:w="1944"/>
            <w:vAlign w:val="center"/>
          </w:tcPr>
          <w:p>
            <w:pPr>
              <w:spacing w:after="0"/>
            </w:pPr>
            <w:r/>
            <w:r>
              <w:rPr>
                <w:rFonts w:ascii="Aptos" w:hAnsi="Aptos"/>
                <w:b w:val="0"/>
                <w:color w:val="1F2937"/>
                <w:sz w:val="13"/>
              </w:rPr>
              <w:t>ClientCredentials (inner class)</w:t>
            </w:r>
          </w:p>
        </w:tc>
        <w:tc>
          <w:tcPr>
            <w:tcW w:type="dxa" w:w="2448"/>
            <w:vAlign w:val="center"/>
          </w:tcPr>
          <w:p>
            <w:pPr>
              <w:spacing w:after="0"/>
            </w:pPr>
            <w:r/>
            <w:r>
              <w:rPr>
                <w:rFonts w:ascii="Aptos" w:hAnsi="Aptos"/>
                <w:b w:val="0"/>
                <w:color w:val="1F2937"/>
                <w:sz w:val="13"/>
              </w:rPr>
              <w:t>Constructor</w:t>
            </w:r>
          </w:p>
        </w:tc>
        <w:tc>
          <w:tcPr>
            <w:tcW w:type="dxa" w:w="792"/>
            <w:vAlign w:val="center"/>
          </w:tcPr>
          <w:p>
            <w:pPr>
              <w:spacing w:after="0"/>
            </w:pPr>
            <w:r/>
            <w:r>
              <w:rPr>
                <w:rFonts w:ascii="Aptos" w:hAnsi="Aptos"/>
                <w:b w:val="0"/>
                <w:color w:val="1F2937"/>
                <w:sz w:val="13"/>
              </w:rPr>
              <w:t>244–265</w:t>
            </w:r>
          </w:p>
        </w:tc>
        <w:tc>
          <w:tcPr>
            <w:tcW w:type="dxa" w:w="1944"/>
            <w:vAlign w:val="center"/>
          </w:tcPr>
          <w:p>
            <w:pPr>
              <w:spacing w:after="0"/>
            </w:pPr>
            <w:r/>
            <w:r>
              <w:rPr>
                <w:rFonts w:ascii="Aptos" w:hAnsi="Aptos"/>
                <w:b w:val="0"/>
                <w:color w:val="1F2937"/>
                <w:sz w:val="13"/>
              </w:rPr>
              <w:t>Setup Gekko credentials</w:t>
            </w:r>
          </w:p>
        </w:tc>
      </w:tr>
      <w:tr>
        <w:tc>
          <w:tcPr>
            <w:tcW w:type="dxa" w:w="432"/>
            <w:shd w:fill="F4F7FA"/>
            <w:vAlign w:val="center"/>
          </w:tcPr>
          <w:p>
            <w:pPr>
              <w:spacing w:after="0"/>
            </w:pPr>
            <w:r/>
            <w:r>
              <w:rPr>
                <w:rFonts w:ascii="Aptos" w:hAnsi="Aptos"/>
                <w:b w:val="0"/>
                <w:color w:val="1F2937"/>
                <w:sz w:val="13"/>
              </w:rPr>
              <w:t>12</w:t>
            </w:r>
          </w:p>
        </w:tc>
        <w:tc>
          <w:tcPr>
            <w:tcW w:type="dxa" w:w="1440"/>
            <w:shd w:fill="F4F7FA"/>
            <w:vAlign w:val="center"/>
          </w:tcPr>
          <w:p>
            <w:pPr>
              <w:spacing w:after="0"/>
            </w:pPr>
            <w:r/>
            <w:r>
              <w:rPr>
                <w:rFonts w:ascii="Aptos" w:hAnsi="Aptos"/>
                <w:b w:val="0"/>
                <w:color w:val="1F2937"/>
                <w:sz w:val="13"/>
              </w:rPr>
              <w:t>HTTP to Gekko (Proxy)</w:t>
            </w:r>
          </w:p>
        </w:tc>
        <w:tc>
          <w:tcPr>
            <w:tcW w:type="dxa" w:w="2232"/>
            <w:shd w:fill="F4F7FA"/>
            <w:vAlign w:val="center"/>
          </w:tcPr>
          <w:p>
            <w:pPr>
              <w:spacing w:after="0"/>
            </w:pPr>
            <w:r/>
            <w:r>
              <w:rPr>
                <w:rFonts w:ascii="Aptos" w:hAnsi="Aptos"/>
                <w:b w:val="0"/>
                <w:color w:val="1F2937"/>
                <w:sz w:val="13"/>
              </w:rPr>
              <w:t>OrderProxyWebClientRestServiceImpl.java</w:t>
            </w:r>
          </w:p>
        </w:tc>
        <w:tc>
          <w:tcPr>
            <w:tcW w:type="dxa" w:w="1944"/>
            <w:shd w:fill="F4F7FA"/>
            <w:vAlign w:val="center"/>
          </w:tcPr>
          <w:p>
            <w:pPr>
              <w:spacing w:after="0"/>
            </w:pPr>
            <w:r/>
            <w:r>
              <w:rPr>
                <w:rFonts w:ascii="Aptos" w:hAnsi="Aptos"/>
                <w:b w:val="0"/>
                <w:color w:val="1F2937"/>
                <w:sz w:val="13"/>
              </w:rPr>
              <w:t>OrderProxyWebClientRestServiceImpl</w:t>
            </w:r>
          </w:p>
        </w:tc>
        <w:tc>
          <w:tcPr>
            <w:tcW w:type="dxa" w:w="2448"/>
            <w:shd w:fill="F4F7FA"/>
            <w:vAlign w:val="center"/>
          </w:tcPr>
          <w:p>
            <w:pPr>
              <w:spacing w:after="0"/>
            </w:pPr>
            <w:r/>
            <w:r>
              <w:rPr>
                <w:rFonts w:ascii="Aptos" w:hAnsi="Aptos"/>
                <w:b w:val="0"/>
                <w:color w:val="1F2937"/>
                <w:sz w:val="13"/>
              </w:rPr>
              <w:t>createOrder()</w:t>
            </w:r>
          </w:p>
        </w:tc>
        <w:tc>
          <w:tcPr>
            <w:tcW w:type="dxa" w:w="792"/>
            <w:shd w:fill="F4F7FA"/>
            <w:vAlign w:val="center"/>
          </w:tcPr>
          <w:p>
            <w:pPr>
              <w:spacing w:after="0"/>
            </w:pPr>
            <w:r/>
            <w:r>
              <w:rPr>
                <w:rFonts w:ascii="Aptos" w:hAnsi="Aptos"/>
                <w:b w:val="0"/>
                <w:color w:val="1F2937"/>
                <w:sz w:val="13"/>
              </w:rPr>
              <w:t>42–65</w:t>
            </w:r>
          </w:p>
        </w:tc>
        <w:tc>
          <w:tcPr>
            <w:tcW w:type="dxa" w:w="1944"/>
            <w:shd w:fill="F4F7FA"/>
            <w:vAlign w:val="center"/>
          </w:tcPr>
          <w:p>
            <w:pPr>
              <w:spacing w:after="0"/>
            </w:pPr>
            <w:r/>
            <w:r>
              <w:rPr>
                <w:rFonts w:ascii="Aptos" w:hAnsi="Aptos"/>
                <w:b w:val="0"/>
                <w:color w:val="1F2937"/>
                <w:sz w:val="13"/>
              </w:rPr>
              <w:t>Call proxy endpoint</w:t>
            </w:r>
          </w:p>
        </w:tc>
      </w:tr>
      <w:tr>
        <w:tc>
          <w:tcPr>
            <w:tcW w:type="dxa" w:w="432"/>
            <w:vAlign w:val="center"/>
          </w:tcPr>
          <w:p>
            <w:pPr>
              <w:spacing w:after="0"/>
            </w:pPr>
            <w:r/>
            <w:r>
              <w:rPr>
                <w:rFonts w:ascii="Aptos" w:hAnsi="Aptos"/>
                <w:b w:val="0"/>
                <w:color w:val="1F2937"/>
                <w:sz w:val="13"/>
              </w:rPr>
              <w:t>13</w:t>
            </w:r>
          </w:p>
        </w:tc>
        <w:tc>
          <w:tcPr>
            <w:tcW w:type="dxa" w:w="1440"/>
            <w:vAlign w:val="center"/>
          </w:tcPr>
          <w:p>
            <w:pPr>
              <w:spacing w:after="0"/>
            </w:pPr>
            <w:r/>
            <w:r>
              <w:rPr>
                <w:rFonts w:ascii="Aptos" w:hAnsi="Aptos"/>
                <w:b w:val="0"/>
                <w:color w:val="1F2937"/>
                <w:sz w:val="13"/>
              </w:rPr>
              <w:t>Interface</w:t>
            </w:r>
          </w:p>
        </w:tc>
        <w:tc>
          <w:tcPr>
            <w:tcW w:type="dxa" w:w="2232"/>
            <w:vAlign w:val="center"/>
          </w:tcPr>
          <w:p>
            <w:pPr>
              <w:spacing w:after="0"/>
            </w:pPr>
            <w:r/>
            <w:r>
              <w:rPr>
                <w:rFonts w:ascii="Aptos" w:hAnsi="Aptos"/>
                <w:b w:val="0"/>
                <w:color w:val="1F2937"/>
                <w:sz w:val="13"/>
              </w:rPr>
              <w:t>GekkoRestService.java</w:t>
            </w:r>
          </w:p>
        </w:tc>
        <w:tc>
          <w:tcPr>
            <w:tcW w:type="dxa" w:w="1944"/>
            <w:vAlign w:val="center"/>
          </w:tcPr>
          <w:p>
            <w:pPr>
              <w:spacing w:after="0"/>
            </w:pPr>
            <w:r/>
            <w:r>
              <w:rPr>
                <w:rFonts w:ascii="Aptos" w:hAnsi="Aptos"/>
                <w:b w:val="0"/>
                <w:color w:val="1F2937"/>
                <w:sz w:val="13"/>
              </w:rPr>
              <w:t>GekkoRestService</w:t>
            </w:r>
          </w:p>
        </w:tc>
        <w:tc>
          <w:tcPr>
            <w:tcW w:type="dxa" w:w="2448"/>
            <w:vAlign w:val="center"/>
          </w:tcPr>
          <w:p>
            <w:pPr>
              <w:spacing w:after="0"/>
            </w:pPr>
            <w:r/>
            <w:r>
              <w:rPr>
                <w:rFonts w:ascii="Aptos" w:hAnsi="Aptos"/>
                <w:b w:val="0"/>
                <w:color w:val="1F2937"/>
                <w:sz w:val="13"/>
              </w:rPr>
              <w:t>createOrder()</w:t>
            </w:r>
          </w:p>
        </w:tc>
        <w:tc>
          <w:tcPr>
            <w:tcW w:type="dxa" w:w="792"/>
            <w:vAlign w:val="center"/>
          </w:tcPr>
          <w:p>
            <w:pPr>
              <w:spacing w:after="0"/>
            </w:pPr>
            <w:r/>
            <w:r>
              <w:rPr>
                <w:rFonts w:ascii="Aptos" w:hAnsi="Aptos"/>
                <w:b w:val="0"/>
                <w:color w:val="1F2937"/>
                <w:sz w:val="13"/>
              </w:rPr>
              <w:t>15</w:t>
            </w:r>
          </w:p>
        </w:tc>
        <w:tc>
          <w:tcPr>
            <w:tcW w:type="dxa" w:w="1944"/>
            <w:vAlign w:val="center"/>
          </w:tcPr>
          <w:p>
            <w:pPr>
              <w:spacing w:after="0"/>
            </w:pPr>
            <w:r/>
            <w:r>
              <w:rPr>
                <w:rFonts w:ascii="Aptos" w:hAnsi="Aptos"/>
                <w:b w:val="0"/>
                <w:color w:val="1F2937"/>
                <w:sz w:val="13"/>
              </w:rPr>
              <w:t>Define interface contract</w:t>
            </w:r>
          </w:p>
        </w:tc>
      </w:tr>
      <w:tr>
        <w:tc>
          <w:tcPr>
            <w:tcW w:type="dxa" w:w="432"/>
            <w:shd w:fill="F4F7FA"/>
            <w:vAlign w:val="center"/>
          </w:tcPr>
          <w:p>
            <w:pPr>
              <w:spacing w:after="0"/>
            </w:pPr>
            <w:r/>
            <w:r>
              <w:rPr>
                <w:rFonts w:ascii="Aptos" w:hAnsi="Aptos"/>
                <w:b w:val="0"/>
                <w:color w:val="1F2937"/>
                <w:sz w:val="13"/>
              </w:rPr>
              <w:t>14</w:t>
            </w:r>
          </w:p>
        </w:tc>
        <w:tc>
          <w:tcPr>
            <w:tcW w:type="dxa" w:w="1440"/>
            <w:shd w:fill="F4F7FA"/>
            <w:vAlign w:val="center"/>
          </w:tcPr>
          <w:p>
            <w:pPr>
              <w:spacing w:after="0"/>
            </w:pPr>
            <w:r/>
            <w:r>
              <w:rPr>
                <w:rFonts w:ascii="Aptos" w:hAnsi="Aptos"/>
                <w:b w:val="0"/>
                <w:color w:val="1F2937"/>
                <w:sz w:val="13"/>
              </w:rPr>
              <w:t>Response Model</w:t>
            </w:r>
          </w:p>
        </w:tc>
        <w:tc>
          <w:tcPr>
            <w:tcW w:type="dxa" w:w="2232"/>
            <w:shd w:fill="F4F7FA"/>
            <w:vAlign w:val="center"/>
          </w:tcPr>
          <w:p>
            <w:pPr>
              <w:spacing w:after="0"/>
            </w:pPr>
            <w:r/>
            <w:r>
              <w:rPr>
                <w:rFonts w:ascii="Aptos" w:hAnsi="Aptos"/>
                <w:b w:val="0"/>
                <w:color w:val="1F2937"/>
                <w:sz w:val="13"/>
              </w:rPr>
              <w:t>AcceptedMessageDetails.java</w:t>
            </w:r>
          </w:p>
        </w:tc>
        <w:tc>
          <w:tcPr>
            <w:tcW w:type="dxa" w:w="1944"/>
            <w:shd w:fill="F4F7FA"/>
            <w:vAlign w:val="center"/>
          </w:tcPr>
          <w:p>
            <w:pPr>
              <w:spacing w:after="0"/>
            </w:pPr>
            <w:r/>
            <w:r>
              <w:rPr>
                <w:rFonts w:ascii="Aptos" w:hAnsi="Aptos"/>
                <w:b w:val="0"/>
                <w:color w:val="1F2937"/>
                <w:sz w:val="13"/>
              </w:rPr>
              <w:t>AcceptedMessageDetails</w:t>
            </w:r>
          </w:p>
        </w:tc>
        <w:tc>
          <w:tcPr>
            <w:tcW w:type="dxa" w:w="2448"/>
            <w:shd w:fill="F4F7FA"/>
            <w:vAlign w:val="center"/>
          </w:tcPr>
          <w:p>
            <w:pPr>
              <w:spacing w:after="0"/>
            </w:pPr>
            <w:r/>
            <w:r>
              <w:rPr>
                <w:rFonts w:ascii="Aptos" w:hAnsi="Aptos"/>
                <w:b w:val="0"/>
                <w:color w:val="1F2937"/>
                <w:sz w:val="13"/>
              </w:rPr>
              <w:t>—</w:t>
            </w:r>
          </w:p>
        </w:tc>
        <w:tc>
          <w:tcPr>
            <w:tcW w:type="dxa" w:w="792"/>
            <w:shd w:fill="F4F7FA"/>
            <w:vAlign w:val="center"/>
          </w:tcPr>
          <w:p>
            <w:pPr>
              <w:spacing w:after="0"/>
            </w:pPr>
            <w:r/>
            <w:r>
              <w:rPr>
                <w:rFonts w:ascii="Aptos" w:hAnsi="Aptos"/>
                <w:b w:val="0"/>
                <w:color w:val="1F2937"/>
                <w:sz w:val="13"/>
              </w:rPr>
              <w:t>17–19</w:t>
            </w:r>
          </w:p>
        </w:tc>
        <w:tc>
          <w:tcPr>
            <w:tcW w:type="dxa" w:w="1944"/>
            <w:shd w:fill="F4F7FA"/>
            <w:vAlign w:val="center"/>
          </w:tcPr>
          <w:p>
            <w:pPr>
              <w:spacing w:after="0"/>
            </w:pPr>
            <w:r/>
            <w:r>
              <w:rPr>
                <w:rFonts w:ascii="Aptos" w:hAnsi="Aptos"/>
                <w:b w:val="0"/>
                <w:color w:val="1F2937"/>
                <w:sz w:val="13"/>
              </w:rPr>
              <w:t>Gekko response structure</w:t>
            </w:r>
          </w:p>
        </w:tc>
      </w:tr>
      <w:tr>
        <w:tc>
          <w:tcPr>
            <w:tcW w:type="dxa" w:w="432"/>
            <w:vAlign w:val="center"/>
          </w:tcPr>
          <w:p>
            <w:pPr>
              <w:spacing w:after="0"/>
            </w:pPr>
            <w:r/>
            <w:r>
              <w:rPr>
                <w:rFonts w:ascii="Aptos" w:hAnsi="Aptos"/>
                <w:b w:val="0"/>
                <w:color w:val="1F2937"/>
                <w:sz w:val="13"/>
              </w:rPr>
              <w:t>15</w:t>
            </w:r>
          </w:p>
        </w:tc>
        <w:tc>
          <w:tcPr>
            <w:tcW w:type="dxa" w:w="1440"/>
            <w:vAlign w:val="center"/>
          </w:tcPr>
          <w:p>
            <w:pPr>
              <w:spacing w:after="0"/>
            </w:pPr>
            <w:r/>
            <w:r>
              <w:rPr>
                <w:rFonts w:ascii="Aptos" w:hAnsi="Aptos"/>
                <w:b w:val="0"/>
                <w:color w:val="1F2937"/>
                <w:sz w:val="13"/>
              </w:rPr>
              <w:t>Post-Acceptance</w:t>
            </w:r>
          </w:p>
        </w:tc>
        <w:tc>
          <w:tcPr>
            <w:tcW w:type="dxa" w:w="2232"/>
            <w:vAlign w:val="center"/>
          </w:tcPr>
          <w:p>
            <w:pPr>
              <w:spacing w:after="0"/>
            </w:pPr>
            <w:r/>
            <w:r>
              <w:rPr>
                <w:rFonts w:ascii="Aptos" w:hAnsi="Aptos"/>
                <w:b w:val="0"/>
                <w:color w:val="1F2937"/>
                <w:sz w:val="13"/>
              </w:rPr>
              <w:t>OrderServiceImpl.java</w:t>
            </w:r>
          </w:p>
        </w:tc>
        <w:tc>
          <w:tcPr>
            <w:tcW w:type="dxa" w:w="1944"/>
            <w:vAlign w:val="center"/>
          </w:tcPr>
          <w:p>
            <w:pPr>
              <w:spacing w:after="0"/>
            </w:pPr>
            <w:r/>
            <w:r>
              <w:rPr>
                <w:rFonts w:ascii="Aptos" w:hAnsi="Aptos"/>
                <w:b w:val="0"/>
                <w:color w:val="1F2937"/>
                <w:sz w:val="13"/>
              </w:rPr>
              <w:t>OrderServiceImpl</w:t>
            </w:r>
          </w:p>
        </w:tc>
        <w:tc>
          <w:tcPr>
            <w:tcW w:type="dxa" w:w="2448"/>
            <w:vAlign w:val="center"/>
          </w:tcPr>
          <w:p>
            <w:pPr>
              <w:spacing w:after="0"/>
            </w:pPr>
            <w:r/>
            <w:r>
              <w:rPr>
                <w:rFonts w:ascii="Aptos" w:hAnsi="Aptos"/>
                <w:b w:val="0"/>
                <w:color w:val="1F2937"/>
                <w:sz w:val="13"/>
              </w:rPr>
              <w:t>processAcceptedOrder()</w:t>
            </w:r>
          </w:p>
        </w:tc>
        <w:tc>
          <w:tcPr>
            <w:tcW w:type="dxa" w:w="792"/>
            <w:vAlign w:val="center"/>
          </w:tcPr>
          <w:p>
            <w:pPr>
              <w:spacing w:after="0"/>
            </w:pPr>
            <w:r/>
            <w:r>
              <w:rPr>
                <w:rFonts w:ascii="Aptos" w:hAnsi="Aptos"/>
                <w:b w:val="0"/>
                <w:color w:val="1F2937"/>
                <w:sz w:val="13"/>
              </w:rPr>
              <w:t>652–662</w:t>
            </w:r>
          </w:p>
        </w:tc>
        <w:tc>
          <w:tcPr>
            <w:tcW w:type="dxa" w:w="1944"/>
            <w:vAlign w:val="center"/>
          </w:tcPr>
          <w:p>
            <w:pPr>
              <w:spacing w:after="0"/>
            </w:pPr>
            <w:r/>
            <w:r>
              <w:rPr>
                <w:rFonts w:ascii="Aptos" w:hAnsi="Aptos"/>
                <w:b w:val="0"/>
                <w:color w:val="1F2937"/>
                <w:sz w:val="13"/>
              </w:rPr>
              <w:t>Handle Gekko response</w:t>
            </w:r>
          </w:p>
        </w:tc>
      </w:tr>
      <w:tr>
        <w:tc>
          <w:tcPr>
            <w:tcW w:type="dxa" w:w="432"/>
            <w:shd w:fill="F4F7FA"/>
            <w:vAlign w:val="center"/>
          </w:tcPr>
          <w:p>
            <w:pPr>
              <w:spacing w:after="0"/>
            </w:pPr>
            <w:r/>
            <w:r>
              <w:rPr>
                <w:rFonts w:ascii="Aptos" w:hAnsi="Aptos"/>
                <w:b w:val="0"/>
                <w:color w:val="1F2937"/>
                <w:sz w:val="13"/>
              </w:rPr>
              <w:t>16</w:t>
            </w:r>
          </w:p>
        </w:tc>
        <w:tc>
          <w:tcPr>
            <w:tcW w:type="dxa" w:w="1440"/>
            <w:shd w:fill="F4F7FA"/>
            <w:vAlign w:val="center"/>
          </w:tcPr>
          <w:p>
            <w:pPr>
              <w:spacing w:after="0"/>
            </w:pPr>
            <w:r/>
            <w:r>
              <w:rPr>
                <w:rFonts w:ascii="Aptos" w:hAnsi="Aptos"/>
                <w:b w:val="0"/>
                <w:color w:val="1F2937"/>
                <w:sz w:val="13"/>
              </w:rPr>
              <w:t>Upgrade Cleanup</w:t>
            </w:r>
          </w:p>
        </w:tc>
        <w:tc>
          <w:tcPr>
            <w:tcW w:type="dxa" w:w="2232"/>
            <w:shd w:fill="F4F7FA"/>
            <w:vAlign w:val="center"/>
          </w:tcPr>
          <w:p>
            <w:pPr>
              <w:spacing w:after="0"/>
            </w:pPr>
            <w:r/>
            <w:r>
              <w:rPr>
                <w:rFonts w:ascii="Aptos" w:hAnsi="Aptos"/>
                <w:b w:val="0"/>
                <w:color w:val="1F2937"/>
                <w:sz w:val="13"/>
              </w:rPr>
              <w:t>OrderServiceImpl.java</w:t>
            </w:r>
          </w:p>
        </w:tc>
        <w:tc>
          <w:tcPr>
            <w:tcW w:type="dxa" w:w="1944"/>
            <w:shd w:fill="F4F7FA"/>
            <w:vAlign w:val="center"/>
          </w:tcPr>
          <w:p>
            <w:pPr>
              <w:spacing w:after="0"/>
            </w:pPr>
            <w:r/>
            <w:r>
              <w:rPr>
                <w:rFonts w:ascii="Aptos" w:hAnsi="Aptos"/>
                <w:b w:val="0"/>
                <w:color w:val="1F2937"/>
                <w:sz w:val="13"/>
              </w:rPr>
              <w:t>OrderServiceImpl</w:t>
            </w:r>
          </w:p>
        </w:tc>
        <w:tc>
          <w:tcPr>
            <w:tcW w:type="dxa" w:w="2448"/>
            <w:shd w:fill="F4F7FA"/>
            <w:vAlign w:val="center"/>
          </w:tcPr>
          <w:p>
            <w:pPr>
              <w:spacing w:after="0"/>
            </w:pPr>
            <w:r/>
            <w:r>
              <w:rPr>
                <w:rFonts w:ascii="Aptos" w:hAnsi="Aptos"/>
                <w:b w:val="0"/>
                <w:color w:val="1F2937"/>
                <w:sz w:val="13"/>
              </w:rPr>
              <w:t>processAcceptedUpgradeOrder()</w:t>
            </w:r>
          </w:p>
        </w:tc>
        <w:tc>
          <w:tcPr>
            <w:tcW w:type="dxa" w:w="792"/>
            <w:shd w:fill="F4F7FA"/>
            <w:vAlign w:val="center"/>
          </w:tcPr>
          <w:p>
            <w:pPr>
              <w:spacing w:after="0"/>
            </w:pPr>
            <w:r/>
            <w:r>
              <w:rPr>
                <w:rFonts w:ascii="Aptos" w:hAnsi="Aptos"/>
                <w:b w:val="0"/>
                <w:color w:val="1F2937"/>
                <w:sz w:val="13"/>
              </w:rPr>
              <w:t>2499–2551</w:t>
            </w:r>
          </w:p>
        </w:tc>
        <w:tc>
          <w:tcPr>
            <w:tcW w:type="dxa" w:w="1944"/>
            <w:shd w:fill="F4F7FA"/>
            <w:vAlign w:val="center"/>
          </w:tcPr>
          <w:p>
            <w:pPr>
              <w:spacing w:after="0"/>
            </w:pPr>
            <w:r/>
            <w:r>
              <w:rPr>
                <w:rFonts w:ascii="Aptos" w:hAnsi="Aptos"/>
                <w:b w:val="0"/>
                <w:color w:val="1F2937"/>
                <w:sz w:val="13"/>
              </w:rPr>
              <w:t>Deactivate old subscriptions</w:t>
            </w:r>
          </w:p>
        </w:tc>
      </w:tr>
      <w:tr>
        <w:tc>
          <w:tcPr>
            <w:tcW w:type="dxa" w:w="432"/>
            <w:vAlign w:val="center"/>
          </w:tcPr>
          <w:p>
            <w:pPr>
              <w:spacing w:after="0"/>
            </w:pPr>
            <w:r/>
            <w:r>
              <w:rPr>
                <w:rFonts w:ascii="Aptos" w:hAnsi="Aptos"/>
                <w:b w:val="0"/>
                <w:color w:val="1F2937"/>
                <w:sz w:val="13"/>
              </w:rPr>
              <w:t>17</w:t>
            </w:r>
          </w:p>
        </w:tc>
        <w:tc>
          <w:tcPr>
            <w:tcW w:type="dxa" w:w="1440"/>
            <w:vAlign w:val="center"/>
          </w:tcPr>
          <w:p>
            <w:pPr>
              <w:spacing w:after="0"/>
            </w:pPr>
            <w:r/>
            <w:r>
              <w:rPr>
                <w:rFonts w:ascii="Aptos" w:hAnsi="Aptos"/>
                <w:b w:val="0"/>
                <w:color w:val="1F2937"/>
                <w:sz w:val="13"/>
              </w:rPr>
              <w:t>Undo Overages</w:t>
            </w:r>
          </w:p>
        </w:tc>
        <w:tc>
          <w:tcPr>
            <w:tcW w:type="dxa" w:w="2232"/>
            <w:vAlign w:val="center"/>
          </w:tcPr>
          <w:p>
            <w:pPr>
              <w:spacing w:after="0"/>
            </w:pPr>
            <w:r/>
            <w:r>
              <w:rPr>
                <w:rFonts w:ascii="Aptos" w:hAnsi="Aptos"/>
                <w:b w:val="0"/>
                <w:color w:val="1F2937"/>
                <w:sz w:val="13"/>
              </w:rPr>
              <w:t>OrderServiceImpl.java</w:t>
            </w:r>
          </w:p>
        </w:tc>
        <w:tc>
          <w:tcPr>
            <w:tcW w:type="dxa" w:w="1944"/>
            <w:vAlign w:val="center"/>
          </w:tcPr>
          <w:p>
            <w:pPr>
              <w:spacing w:after="0"/>
            </w:pPr>
            <w:r/>
            <w:r>
              <w:rPr>
                <w:rFonts w:ascii="Aptos" w:hAnsi="Aptos"/>
                <w:b w:val="0"/>
                <w:color w:val="1F2937"/>
                <w:sz w:val="13"/>
              </w:rPr>
              <w:t>OrderServiceImpl</w:t>
            </w:r>
          </w:p>
        </w:tc>
        <w:tc>
          <w:tcPr>
            <w:tcW w:type="dxa" w:w="2448"/>
            <w:vAlign w:val="center"/>
          </w:tcPr>
          <w:p>
            <w:pPr>
              <w:spacing w:after="0"/>
            </w:pPr>
            <w:r/>
            <w:r>
              <w:rPr>
                <w:rFonts w:ascii="Aptos" w:hAnsi="Aptos"/>
                <w:b w:val="0"/>
                <w:color w:val="1F2937"/>
                <w:sz w:val="13"/>
              </w:rPr>
              <w:t>undoOverages()</w:t>
            </w:r>
          </w:p>
        </w:tc>
        <w:tc>
          <w:tcPr>
            <w:tcW w:type="dxa" w:w="792"/>
            <w:vAlign w:val="center"/>
          </w:tcPr>
          <w:p>
            <w:pPr>
              <w:spacing w:after="0"/>
            </w:pPr>
            <w:r/>
            <w:r>
              <w:rPr>
                <w:rFonts w:ascii="Aptos" w:hAnsi="Aptos"/>
                <w:b w:val="0"/>
                <w:color w:val="1F2937"/>
                <w:sz w:val="13"/>
              </w:rPr>
              <w:t>2553–2560</w:t>
            </w:r>
          </w:p>
        </w:tc>
        <w:tc>
          <w:tcPr>
            <w:tcW w:type="dxa" w:w="1944"/>
            <w:vAlign w:val="center"/>
          </w:tcPr>
          <w:p>
            <w:pPr>
              <w:spacing w:after="0"/>
            </w:pPr>
            <w:r/>
            <w:r>
              <w:rPr>
                <w:rFonts w:ascii="Aptos" w:hAnsi="Aptos"/>
                <w:b w:val="0"/>
                <w:color w:val="1F2937"/>
                <w:sz w:val="13"/>
              </w:rPr>
              <w:t>Clear old overage charges</w:t>
            </w:r>
          </w:p>
        </w:tc>
      </w:tr>
      <w:tr>
        <w:tc>
          <w:tcPr>
            <w:tcW w:type="dxa" w:w="432"/>
            <w:shd w:fill="F4F7FA"/>
            <w:vAlign w:val="center"/>
          </w:tcPr>
          <w:p>
            <w:pPr>
              <w:spacing w:after="0"/>
            </w:pPr>
            <w:r/>
            <w:r>
              <w:rPr>
                <w:rFonts w:ascii="Aptos" w:hAnsi="Aptos"/>
                <w:b w:val="0"/>
                <w:color w:val="1F2937"/>
                <w:sz w:val="13"/>
              </w:rPr>
              <w:t>18</w:t>
            </w:r>
          </w:p>
        </w:tc>
        <w:tc>
          <w:tcPr>
            <w:tcW w:type="dxa" w:w="1440"/>
            <w:shd w:fill="F4F7FA"/>
            <w:vAlign w:val="center"/>
          </w:tcPr>
          <w:p>
            <w:pPr>
              <w:spacing w:after="0"/>
            </w:pPr>
            <w:r/>
            <w:r>
              <w:rPr>
                <w:rFonts w:ascii="Aptos" w:hAnsi="Aptos"/>
                <w:b w:val="0"/>
                <w:color w:val="1F2937"/>
                <w:sz w:val="13"/>
              </w:rPr>
              <w:t>Undo Changes</w:t>
            </w:r>
          </w:p>
        </w:tc>
        <w:tc>
          <w:tcPr>
            <w:tcW w:type="dxa" w:w="2232"/>
            <w:shd w:fill="F4F7FA"/>
            <w:vAlign w:val="center"/>
          </w:tcPr>
          <w:p>
            <w:pPr>
              <w:spacing w:after="0"/>
            </w:pPr>
            <w:r/>
            <w:r>
              <w:rPr>
                <w:rFonts w:ascii="Aptos" w:hAnsi="Aptos"/>
                <w:b w:val="0"/>
                <w:color w:val="1F2937"/>
                <w:sz w:val="13"/>
              </w:rPr>
              <w:t>OrderServiceImpl.java</w:t>
            </w:r>
          </w:p>
        </w:tc>
        <w:tc>
          <w:tcPr>
            <w:tcW w:type="dxa" w:w="1944"/>
            <w:shd w:fill="F4F7FA"/>
            <w:vAlign w:val="center"/>
          </w:tcPr>
          <w:p>
            <w:pPr>
              <w:spacing w:after="0"/>
            </w:pPr>
            <w:r/>
            <w:r>
              <w:rPr>
                <w:rFonts w:ascii="Aptos" w:hAnsi="Aptos"/>
                <w:b w:val="0"/>
                <w:color w:val="1F2937"/>
                <w:sz w:val="13"/>
              </w:rPr>
              <w:t>OrderServiceImpl</w:t>
            </w:r>
          </w:p>
        </w:tc>
        <w:tc>
          <w:tcPr>
            <w:tcW w:type="dxa" w:w="2448"/>
            <w:shd w:fill="F4F7FA"/>
            <w:vAlign w:val="center"/>
          </w:tcPr>
          <w:p>
            <w:pPr>
              <w:spacing w:after="0"/>
            </w:pPr>
            <w:r/>
            <w:r>
              <w:rPr>
                <w:rFonts w:ascii="Aptos" w:hAnsi="Aptos"/>
                <w:b w:val="0"/>
                <w:color w:val="1F2937"/>
                <w:sz w:val="13"/>
              </w:rPr>
              <w:t>undoChange()</w:t>
            </w:r>
          </w:p>
        </w:tc>
        <w:tc>
          <w:tcPr>
            <w:tcW w:type="dxa" w:w="792"/>
            <w:shd w:fill="F4F7FA"/>
            <w:vAlign w:val="center"/>
          </w:tcPr>
          <w:p>
            <w:pPr>
              <w:spacing w:after="0"/>
            </w:pPr>
            <w:r/>
            <w:r>
              <w:rPr>
                <w:rFonts w:ascii="Aptos" w:hAnsi="Aptos"/>
                <w:b w:val="0"/>
                <w:color w:val="1F2937"/>
                <w:sz w:val="13"/>
              </w:rPr>
              <w:t>2562–2568</w:t>
            </w:r>
          </w:p>
        </w:tc>
        <w:tc>
          <w:tcPr>
            <w:tcW w:type="dxa" w:w="1944"/>
            <w:shd w:fill="F4F7FA"/>
            <w:vAlign w:val="center"/>
          </w:tcPr>
          <w:p>
            <w:pPr>
              <w:spacing w:after="0"/>
            </w:pPr>
            <w:r/>
            <w:r>
              <w:rPr>
                <w:rFonts w:ascii="Aptos" w:hAnsi="Aptos"/>
                <w:b w:val="0"/>
                <w:color w:val="1F2937"/>
                <w:sz w:val="13"/>
              </w:rPr>
              <w:t>Cancel pending changes</w:t>
            </w:r>
          </w:p>
        </w:tc>
      </w:tr>
      <w:tr>
        <w:tc>
          <w:tcPr>
            <w:tcW w:type="dxa" w:w="432"/>
            <w:vAlign w:val="center"/>
          </w:tcPr>
          <w:p>
            <w:pPr>
              <w:spacing w:after="0"/>
            </w:pPr>
            <w:r/>
            <w:r>
              <w:rPr>
                <w:rFonts w:ascii="Aptos" w:hAnsi="Aptos"/>
                <w:b w:val="0"/>
                <w:color w:val="1F2937"/>
                <w:sz w:val="13"/>
              </w:rPr>
              <w:t>19</w:t>
            </w:r>
          </w:p>
        </w:tc>
        <w:tc>
          <w:tcPr>
            <w:tcW w:type="dxa" w:w="1440"/>
            <w:vAlign w:val="center"/>
          </w:tcPr>
          <w:p>
            <w:pPr>
              <w:spacing w:after="0"/>
            </w:pPr>
            <w:r/>
            <w:r>
              <w:rPr>
                <w:rFonts w:ascii="Aptos" w:hAnsi="Aptos"/>
                <w:b w:val="0"/>
                <w:color w:val="1F2937"/>
                <w:sz w:val="13"/>
              </w:rPr>
              <w:t>Update Overages</w:t>
            </w:r>
          </w:p>
        </w:tc>
        <w:tc>
          <w:tcPr>
            <w:tcW w:type="dxa" w:w="2232"/>
            <w:vAlign w:val="center"/>
          </w:tcPr>
          <w:p>
            <w:pPr>
              <w:spacing w:after="0"/>
            </w:pPr>
            <w:r/>
            <w:r>
              <w:rPr>
                <w:rFonts w:ascii="Aptos" w:hAnsi="Aptos"/>
                <w:b w:val="0"/>
                <w:color w:val="1F2937"/>
                <w:sz w:val="13"/>
              </w:rPr>
              <w:t>OrderServiceImpl.java</w:t>
            </w:r>
          </w:p>
        </w:tc>
        <w:tc>
          <w:tcPr>
            <w:tcW w:type="dxa" w:w="1944"/>
            <w:vAlign w:val="center"/>
          </w:tcPr>
          <w:p>
            <w:pPr>
              <w:spacing w:after="0"/>
            </w:pPr>
            <w:r/>
            <w:r>
              <w:rPr>
                <w:rFonts w:ascii="Aptos" w:hAnsi="Aptos"/>
                <w:b w:val="0"/>
                <w:color w:val="1F2937"/>
                <w:sz w:val="13"/>
              </w:rPr>
              <w:t>OrderServiceImpl</w:t>
            </w:r>
          </w:p>
        </w:tc>
        <w:tc>
          <w:tcPr>
            <w:tcW w:type="dxa" w:w="2448"/>
            <w:vAlign w:val="center"/>
          </w:tcPr>
          <w:p>
            <w:pPr>
              <w:spacing w:after="0"/>
            </w:pPr>
            <w:r/>
            <w:r>
              <w:rPr>
                <w:rFonts w:ascii="Aptos" w:hAnsi="Aptos"/>
                <w:b w:val="0"/>
                <w:color w:val="1F2937"/>
                <w:sz w:val="13"/>
              </w:rPr>
              <w:t>updateOverages()</w:t>
            </w:r>
          </w:p>
        </w:tc>
        <w:tc>
          <w:tcPr>
            <w:tcW w:type="dxa" w:w="792"/>
            <w:vAlign w:val="center"/>
          </w:tcPr>
          <w:p>
            <w:pPr>
              <w:spacing w:after="0"/>
            </w:pPr>
            <w:r/>
            <w:r>
              <w:rPr>
                <w:rFonts w:ascii="Aptos" w:hAnsi="Aptos"/>
                <w:b w:val="0"/>
                <w:color w:val="1F2937"/>
                <w:sz w:val="13"/>
              </w:rPr>
              <w:t>2596–2609</w:t>
            </w:r>
          </w:p>
        </w:tc>
        <w:tc>
          <w:tcPr>
            <w:tcW w:type="dxa" w:w="1944"/>
            <w:vAlign w:val="center"/>
          </w:tcPr>
          <w:p>
            <w:pPr>
              <w:spacing w:after="0"/>
            </w:pPr>
            <w:r/>
            <w:r>
              <w:rPr>
                <w:rFonts w:ascii="Aptos" w:hAnsi="Aptos"/>
                <w:b w:val="0"/>
                <w:color w:val="1F2937"/>
                <w:sz w:val="13"/>
              </w:rPr>
              <w:t>Schedule price update for month 2</w:t>
            </w:r>
          </w:p>
        </w:tc>
      </w:tr>
    </w:tbl>
    <w:p/>
    <w:p>
      <w:pPr>
        <w:pStyle w:val="Heading2"/>
      </w:pPr>
      <w:r>
        <w:t>2.4 Upgrade Gaps to Close</w:t>
      </w:r>
    </w:p>
    <w:p>
      <w:pPr>
        <w:pStyle w:val="ListNumber"/>
        <w:spacing w:after="60"/>
      </w:pPr>
      <w:r>
        <w:t>Port the lowest-overage pricing logic from computeAllocatedRevenue() into OrderServiceV3Impl, keyed by PAGE_SET and parentOrderId and backed by SubscriptionDaoV3Repository.</w:t>
      </w:r>
    </w:p>
    <w:p>
      <w:pPr>
        <w:pStyle w:val="ListNumber"/>
        <w:spacing w:after="60"/>
      </w:pPr>
      <w:r>
        <w:t>Port post-Gekko old-subscription handling from processAcceptedUpgradeOrder(): identify old renewed subscriptions, undo BMS overages, undo SCC pending changes, and set the old subscription to DEACTIVATING.</w:t>
      </w:r>
    </w:p>
    <w:p>
      <w:pPr>
        <w:pStyle w:val="ListNumber"/>
        <w:spacing w:after="60"/>
      </w:pPr>
      <w:r>
        <w:t>Port the month-2 SCC correction logic for cases where the new overage is greater than the old overage.</w:t>
      </w:r>
    </w:p>
    <w:p>
      <w:pPr>
        <w:pStyle w:val="ListNumber"/>
        <w:spacing w:after="60"/>
      </w:pPr>
      <w:r>
        <w:t>Choose one authoritative parentOrderId location and align validators and downstream logic around it.</w:t>
      </w:r>
    </w:p>
    <w:p>
      <w:pPr>
        <w:pStyle w:val="ListNumber"/>
        <w:spacing w:after="60"/>
      </w:pPr>
      <w:r>
        <w:t>Make upgrade validation matrix-driven by businessContext and country rather than hardcoded to one market/program.</w:t>
      </w:r>
    </w:p>
    <w:p>
      <w:pPr>
        <w:pStyle w:val="Heading1"/>
      </w:pPr>
      <w:r>
        <w:t>3. PLAN CHANGE — V1 + V2 vs V3</w:t>
      </w:r>
    </w:p>
    <w:p>
      <w:r>
        <w:rPr>
          <w:b/>
        </w:rPr>
        <w:t xml:space="preserve">Important finding: </w:t>
      </w:r>
      <w:r>
        <w:t>Plan change is not a single historical flow. V1 and V2 implement materially different variants, and V3 must combine both.</w:t>
      </w:r>
    </w:p>
    <w:p>
      <w:pPr>
        <w:pStyle w:val="Heading2"/>
      </w:pPr>
      <w:r>
        <w:t>3.1 V1 — Full Pricing Plan Change</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7"/>
              </w:rPr>
              <w:t>Capability</w:t>
            </w:r>
          </w:p>
        </w:tc>
        <w:tc>
          <w:tcPr>
            <w:tcW w:type="dxa" w:w="7776"/>
            <w:shd w:fill="17365D"/>
            <w:vAlign w:val="center"/>
          </w:tcPr>
          <w:p>
            <w:pPr>
              <w:spacing w:after="0"/>
            </w:pPr>
            <w:r/>
            <w:r>
              <w:rPr>
                <w:rFonts w:ascii="Aptos" w:hAnsi="Aptos"/>
                <w:b/>
                <w:color w:val="FFFFFF"/>
                <w:sz w:val="17"/>
              </w:rPr>
              <w:t>V1 Implementation</w:t>
            </w:r>
          </w:p>
        </w:tc>
      </w:tr>
      <w:tr>
        <w:tc>
          <w:tcPr>
            <w:tcW w:type="dxa" w:w="2880"/>
            <w:vAlign w:val="center"/>
          </w:tcPr>
          <w:p>
            <w:pPr>
              <w:spacing w:after="0"/>
            </w:pPr>
            <w:r/>
            <w:r>
              <w:rPr>
                <w:rFonts w:ascii="Aptos" w:hAnsi="Aptos"/>
                <w:b w:val="0"/>
                <w:color w:val="1F2937"/>
                <w:sz w:val="17"/>
              </w:rPr>
              <w:t>Trigger</w:t>
            </w:r>
          </w:p>
        </w:tc>
        <w:tc>
          <w:tcPr>
            <w:tcW w:type="dxa" w:w="7776"/>
            <w:vAlign w:val="center"/>
          </w:tcPr>
          <w:p>
            <w:pPr>
              <w:spacing w:after="0"/>
            </w:pPr>
            <w:r/>
            <w:r>
              <w:rPr>
                <w:rFonts w:ascii="Aptos" w:hAnsi="Aptos"/>
                <w:b w:val="0"/>
                <w:color w:val="1F2937"/>
                <w:sz w:val="17"/>
              </w:rPr>
              <w:t>PUT /subscriptions/{id}/update?idType=SUBSCRIPTIONID</w:t>
            </w:r>
          </w:p>
        </w:tc>
      </w:tr>
      <w:tr>
        <w:tc>
          <w:tcPr>
            <w:tcW w:type="dxa" w:w="2880"/>
            <w:shd w:fill="F4F7FA"/>
            <w:vAlign w:val="center"/>
          </w:tcPr>
          <w:p>
            <w:pPr>
              <w:spacing w:after="0"/>
            </w:pPr>
            <w:r/>
            <w:r>
              <w:rPr>
                <w:rFonts w:ascii="Aptos" w:hAnsi="Aptos"/>
                <w:b w:val="0"/>
                <w:color w:val="1F2937"/>
                <w:sz w:val="17"/>
              </w:rPr>
              <w:t>Customer key</w:t>
            </w:r>
          </w:p>
        </w:tc>
        <w:tc>
          <w:tcPr>
            <w:tcW w:type="dxa" w:w="7776"/>
            <w:shd w:fill="F4F7FA"/>
            <w:vAlign w:val="center"/>
          </w:tcPr>
          <w:p>
            <w:pPr>
              <w:spacing w:after="0"/>
            </w:pPr>
            <w:r/>
            <w:r>
              <w:rPr>
                <w:rFonts w:ascii="Aptos" w:hAnsi="Aptos"/>
                <w:b w:val="0"/>
                <w:color w:val="1F2937"/>
                <w:sz w:val="17"/>
              </w:rPr>
              <w:t>Flat tenantId</w:t>
            </w:r>
          </w:p>
        </w:tc>
      </w:tr>
      <w:tr>
        <w:tc>
          <w:tcPr>
            <w:tcW w:type="dxa" w:w="2880"/>
            <w:vAlign w:val="center"/>
          </w:tcPr>
          <w:p>
            <w:pPr>
              <w:spacing w:after="0"/>
            </w:pPr>
            <w:r/>
            <w:r>
              <w:rPr>
                <w:rFonts w:ascii="Aptos" w:hAnsi="Aptos"/>
                <w:b w:val="0"/>
                <w:color w:val="1F2937"/>
                <w:sz w:val="17"/>
              </w:rPr>
              <w:t>Change scope</w:t>
            </w:r>
          </w:p>
        </w:tc>
        <w:tc>
          <w:tcPr>
            <w:tcW w:type="dxa" w:w="7776"/>
            <w:vAlign w:val="center"/>
          </w:tcPr>
          <w:p>
            <w:pPr>
              <w:spacing w:after="0"/>
            </w:pPr>
            <w:r/>
            <w:r>
              <w:rPr>
                <w:rFonts w:ascii="Aptos" w:hAnsi="Aptos"/>
                <w:b w:val="0"/>
                <w:color w:val="1F2937"/>
                <w:sz w:val="17"/>
              </w:rPr>
              <w:t>Full pricing change: productId, price, fmv, allocatedRevenue</w:t>
            </w:r>
          </w:p>
        </w:tc>
      </w:tr>
      <w:tr>
        <w:tc>
          <w:tcPr>
            <w:tcW w:type="dxa" w:w="2880"/>
            <w:shd w:fill="F4F7FA"/>
            <w:vAlign w:val="center"/>
          </w:tcPr>
          <w:p>
            <w:pPr>
              <w:spacing w:after="0"/>
            </w:pPr>
            <w:r/>
            <w:r>
              <w:rPr>
                <w:rFonts w:ascii="Aptos" w:hAnsi="Aptos"/>
                <w:b w:val="0"/>
                <w:color w:val="1F2937"/>
                <w:sz w:val="17"/>
              </w:rPr>
              <w:t>Policy modes</w:t>
            </w:r>
          </w:p>
        </w:tc>
        <w:tc>
          <w:tcPr>
            <w:tcW w:type="dxa" w:w="7776"/>
            <w:shd w:fill="F4F7FA"/>
            <w:vAlign w:val="center"/>
          </w:tcPr>
          <w:p>
            <w:pPr>
              <w:spacing w:after="0"/>
            </w:pPr>
            <w:r/>
            <w:r>
              <w:rPr>
                <w:rFonts w:ascii="Aptos" w:hAnsi="Aptos"/>
                <w:b w:val="0"/>
                <w:color w:val="1F2937"/>
                <w:sz w:val="17"/>
              </w:rPr>
              <w:t>IMM (immediate) / SOT (start-of-term using BMS billing cycle date)</w:t>
            </w:r>
          </w:p>
        </w:tc>
      </w:tr>
      <w:tr>
        <w:tc>
          <w:tcPr>
            <w:tcW w:type="dxa" w:w="2880"/>
            <w:vAlign w:val="center"/>
          </w:tcPr>
          <w:p>
            <w:pPr>
              <w:spacing w:after="0"/>
            </w:pPr>
            <w:r/>
            <w:r>
              <w:rPr>
                <w:rFonts w:ascii="Aptos" w:hAnsi="Aptos"/>
                <w:b w:val="0"/>
                <w:color w:val="1F2937"/>
                <w:sz w:val="17"/>
              </w:rPr>
              <w:t>Concurrency</w:t>
            </w:r>
          </w:p>
        </w:tc>
        <w:tc>
          <w:tcPr>
            <w:tcW w:type="dxa" w:w="7776"/>
            <w:vAlign w:val="center"/>
          </w:tcPr>
          <w:p>
            <w:pPr>
              <w:spacing w:after="0"/>
            </w:pPr>
            <w:r/>
            <w:r>
              <w:rPr>
                <w:rFonts w:ascii="Aptos" w:hAnsi="Aptos"/>
                <w:b w:val="0"/>
                <w:color w:val="1F2937"/>
                <w:sz w:val="17"/>
              </w:rPr>
              <w:t>ChangeRequestDao queue: PENDING → PROCESSING → CONFIRMED / OVERRIDDEN / VALIDATION_ERROR</w:t>
            </w:r>
          </w:p>
        </w:tc>
      </w:tr>
      <w:tr>
        <w:tc>
          <w:tcPr>
            <w:tcW w:type="dxa" w:w="2880"/>
            <w:shd w:fill="F4F7FA"/>
            <w:vAlign w:val="center"/>
          </w:tcPr>
          <w:p>
            <w:pPr>
              <w:spacing w:after="0"/>
            </w:pPr>
            <w:r/>
            <w:r>
              <w:rPr>
                <w:rFonts w:ascii="Aptos" w:hAnsi="Aptos"/>
                <w:b w:val="0"/>
                <w:color w:val="1F2937"/>
                <w:sz w:val="17"/>
              </w:rPr>
              <w:t>Duplicate detection</w:t>
            </w:r>
          </w:p>
        </w:tc>
        <w:tc>
          <w:tcPr>
            <w:tcW w:type="dxa" w:w="7776"/>
            <w:shd w:fill="F4F7FA"/>
            <w:vAlign w:val="center"/>
          </w:tcPr>
          <w:p>
            <w:pPr>
              <w:spacing w:after="0"/>
            </w:pPr>
            <w:r/>
            <w:r>
              <w:rPr>
                <w:rFonts w:ascii="Aptos" w:hAnsi="Aptos"/>
                <w:b w:val="0"/>
                <w:color w:val="1F2937"/>
                <w:sz w:val="17"/>
              </w:rPr>
              <w:t>Same subscriptionContractId + groupId + subscriptionType with PENDING/PROCESSING → 409 Conflict</w:t>
            </w:r>
          </w:p>
        </w:tc>
      </w:tr>
      <w:tr>
        <w:tc>
          <w:tcPr>
            <w:tcW w:type="dxa" w:w="2880"/>
            <w:vAlign w:val="center"/>
          </w:tcPr>
          <w:p>
            <w:pPr>
              <w:spacing w:after="0"/>
            </w:pPr>
            <w:r/>
            <w:r>
              <w:rPr>
                <w:rFonts w:ascii="Aptos" w:hAnsi="Aptos"/>
                <w:b w:val="0"/>
                <w:color w:val="1F2937"/>
                <w:sz w:val="17"/>
              </w:rPr>
              <w:t>Multi-item rule</w:t>
            </w:r>
          </w:p>
        </w:tc>
        <w:tc>
          <w:tcPr>
            <w:tcW w:type="dxa" w:w="7776"/>
            <w:vAlign w:val="center"/>
          </w:tcPr>
          <w:p>
            <w:pPr>
              <w:spacing w:after="0"/>
            </w:pPr>
            <w:r/>
            <w:r>
              <w:rPr>
                <w:rFonts w:ascii="Aptos" w:hAnsi="Aptos"/>
                <w:b w:val="0"/>
                <w:color w:val="1F2937"/>
                <w:sz w:val="17"/>
              </w:rPr>
              <w:t>Multiple items allowed only when target subscription is BASE</w:t>
            </w:r>
          </w:p>
        </w:tc>
      </w:tr>
      <w:tr>
        <w:tc>
          <w:tcPr>
            <w:tcW w:type="dxa" w:w="2880"/>
            <w:shd w:fill="F4F7FA"/>
            <w:vAlign w:val="center"/>
          </w:tcPr>
          <w:p>
            <w:pPr>
              <w:spacing w:after="0"/>
            </w:pPr>
            <w:r/>
            <w:r>
              <w:rPr>
                <w:rFonts w:ascii="Aptos" w:hAnsi="Aptos"/>
                <w:b w:val="0"/>
                <w:color w:val="1F2937"/>
                <w:sz w:val="17"/>
              </w:rPr>
              <w:t>Validation</w:t>
            </w:r>
          </w:p>
        </w:tc>
        <w:tc>
          <w:tcPr>
            <w:tcW w:type="dxa" w:w="7776"/>
            <w:shd w:fill="F4F7FA"/>
            <w:vAlign w:val="center"/>
          </w:tcPr>
          <w:p>
            <w:pPr>
              <w:spacing w:after="0"/>
            </w:pPr>
            <w:r/>
            <w:r>
              <w:rPr>
                <w:rFonts w:ascii="Aptos" w:hAnsi="Aptos"/>
                <w:b w:val="0"/>
                <w:color w:val="1F2937"/>
                <w:sz w:val="17"/>
              </w:rPr>
              <w:t>Subscription not DISABLED; product exists in PIM; SKU characteristic match; same order</w:t>
            </w:r>
          </w:p>
        </w:tc>
      </w:tr>
      <w:tr>
        <w:tc>
          <w:tcPr>
            <w:tcW w:type="dxa" w:w="2880"/>
            <w:vAlign w:val="center"/>
          </w:tcPr>
          <w:p>
            <w:pPr>
              <w:spacing w:after="0"/>
            </w:pPr>
            <w:r/>
            <w:r>
              <w:rPr>
                <w:rFonts w:ascii="Aptos" w:hAnsi="Aptos"/>
                <w:b w:val="0"/>
                <w:color w:val="1F2937"/>
                <w:sz w:val="17"/>
              </w:rPr>
              <w:t>Downstream</w:t>
            </w:r>
          </w:p>
        </w:tc>
        <w:tc>
          <w:tcPr>
            <w:tcW w:type="dxa" w:w="7776"/>
            <w:vAlign w:val="center"/>
          </w:tcPr>
          <w:p>
            <w:pPr>
              <w:spacing w:after="0"/>
            </w:pPr>
            <w:r/>
            <w:r>
              <w:rPr>
                <w:rFonts w:ascii="Aptos" w:hAnsi="Aptos"/>
                <w:b w:val="0"/>
                <w:color w:val="1F2937"/>
                <w:sz w:val="17"/>
              </w:rPr>
              <w:t>Direct Gekko subscriptionChangePlan(); on 202 save audit, trigger Error Handler, publish event, undo BMS overages</w:t>
            </w:r>
          </w:p>
        </w:tc>
      </w:tr>
      <w:tr>
        <w:tc>
          <w:tcPr>
            <w:tcW w:type="dxa" w:w="2880"/>
            <w:shd w:fill="F4F7FA"/>
            <w:vAlign w:val="center"/>
          </w:tcPr>
          <w:p>
            <w:pPr>
              <w:spacing w:after="0"/>
            </w:pPr>
            <w:r/>
            <w:r>
              <w:rPr>
                <w:rFonts w:ascii="Aptos" w:hAnsi="Aptos"/>
                <w:b w:val="0"/>
                <w:color w:val="1F2937"/>
                <w:sz w:val="17"/>
              </w:rPr>
              <w:t>Confirmation</w:t>
            </w:r>
          </w:p>
        </w:tc>
        <w:tc>
          <w:tcPr>
            <w:tcW w:type="dxa" w:w="7776"/>
            <w:shd w:fill="F4F7FA"/>
            <w:vAlign w:val="center"/>
          </w:tcPr>
          <w:p>
            <w:pPr>
              <w:spacing w:after="0"/>
            </w:pPr>
            <w:r/>
            <w:r>
              <w:rPr>
                <w:rFonts w:ascii="Aptos" w:hAnsi="Aptos"/>
                <w:b w:val="0"/>
                <w:color w:val="1F2937"/>
                <w:sz w:val="17"/>
              </w:rPr>
              <w:t>Gekko SUBSCRIPTION_PLAN_CHANGE event confirms request and processes queued requests oldest-first</w:t>
            </w:r>
          </w:p>
        </w:tc>
      </w:tr>
      <w:tr>
        <w:tc>
          <w:tcPr>
            <w:tcW w:type="dxa" w:w="2880"/>
            <w:vAlign w:val="center"/>
          </w:tcPr>
          <w:p>
            <w:pPr>
              <w:spacing w:after="0"/>
            </w:pPr>
            <w:r/>
            <w:r>
              <w:rPr>
                <w:rFonts w:ascii="Aptos" w:hAnsi="Aptos"/>
                <w:b w:val="0"/>
                <w:color w:val="1F2937"/>
                <w:sz w:val="17"/>
              </w:rPr>
              <w:t>De-duplication</w:t>
            </w:r>
          </w:p>
        </w:tc>
        <w:tc>
          <w:tcPr>
            <w:tcW w:type="dxa" w:w="7776"/>
            <w:vAlign w:val="center"/>
          </w:tcPr>
          <w:p>
            <w:pPr>
              <w:spacing w:after="0"/>
            </w:pPr>
            <w:r/>
            <w:r>
              <w:rPr>
                <w:rFonts w:ascii="Aptos" w:hAnsi="Aptos"/>
                <w:b w:val="0"/>
                <w:color w:val="1F2937"/>
                <w:sz w:val="17"/>
              </w:rPr>
              <w:t>Identical price/fmv/allocatedRevenue/productId is treated as duplicate and skipped</w:t>
            </w:r>
          </w:p>
        </w:tc>
      </w:tr>
    </w:tbl>
    <w:p>
      <w:pPr>
        <w:spacing w:after="40"/>
      </w:pPr>
    </w:p>
    <w:p>
      <w:pPr>
        <w:pStyle w:val="Heading2"/>
      </w:pPr>
      <w:r>
        <w:t>3.2 V2 — Quantity-Only Plan Change</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7"/>
              </w:rPr>
              <w:t>Capability</w:t>
            </w:r>
          </w:p>
        </w:tc>
        <w:tc>
          <w:tcPr>
            <w:tcW w:type="dxa" w:w="7776"/>
            <w:shd w:fill="17365D"/>
            <w:vAlign w:val="center"/>
          </w:tcPr>
          <w:p>
            <w:pPr>
              <w:spacing w:after="0"/>
            </w:pPr>
            <w:r/>
            <w:r>
              <w:rPr>
                <w:rFonts w:ascii="Aptos" w:hAnsi="Aptos"/>
                <w:b/>
                <w:color w:val="FFFFFF"/>
                <w:sz w:val="17"/>
              </w:rPr>
              <w:t>V2 Implementation</w:t>
            </w:r>
          </w:p>
        </w:tc>
      </w:tr>
      <w:tr>
        <w:tc>
          <w:tcPr>
            <w:tcW w:type="dxa" w:w="2880"/>
            <w:vAlign w:val="center"/>
          </w:tcPr>
          <w:p>
            <w:pPr>
              <w:spacing w:after="0"/>
            </w:pPr>
            <w:r/>
            <w:r>
              <w:rPr>
                <w:rFonts w:ascii="Aptos" w:hAnsi="Aptos"/>
                <w:b w:val="0"/>
                <w:color w:val="1F2937"/>
                <w:sz w:val="17"/>
              </w:rPr>
              <w:t>Trigger</w:t>
            </w:r>
          </w:p>
        </w:tc>
        <w:tc>
          <w:tcPr>
            <w:tcW w:type="dxa" w:w="7776"/>
            <w:vAlign w:val="center"/>
          </w:tcPr>
          <w:p>
            <w:pPr>
              <w:spacing w:after="0"/>
            </w:pPr>
            <w:r/>
            <w:r>
              <w:rPr>
                <w:rFonts w:ascii="Aptos" w:hAnsi="Aptos"/>
                <w:b w:val="0"/>
                <w:color w:val="1F2937"/>
                <w:sz w:val="17"/>
              </w:rPr>
              <w:t>PUT /v2/subscriptions/{id}/update?idType=SUBSCRIPTIONID</w:t>
            </w:r>
          </w:p>
        </w:tc>
      </w:tr>
      <w:tr>
        <w:tc>
          <w:tcPr>
            <w:tcW w:type="dxa" w:w="2880"/>
            <w:shd w:fill="F4F7FA"/>
            <w:vAlign w:val="center"/>
          </w:tcPr>
          <w:p>
            <w:pPr>
              <w:spacing w:after="0"/>
            </w:pPr>
            <w:r/>
            <w:r>
              <w:rPr>
                <w:rFonts w:ascii="Aptos" w:hAnsi="Aptos"/>
                <w:b w:val="0"/>
                <w:color w:val="1F2937"/>
                <w:sz w:val="17"/>
              </w:rPr>
              <w:t>Customer key</w:t>
            </w:r>
          </w:p>
        </w:tc>
        <w:tc>
          <w:tcPr>
            <w:tcW w:type="dxa" w:w="7776"/>
            <w:shd w:fill="F4F7FA"/>
            <w:vAlign w:val="center"/>
          </w:tcPr>
          <w:p>
            <w:pPr>
              <w:spacing w:after="0"/>
            </w:pPr>
            <w:r/>
            <w:r>
              <w:rPr>
                <w:rFonts w:ascii="Aptos" w:hAnsi="Aptos"/>
                <w:b w:val="0"/>
                <w:color w:val="1F2937"/>
                <w:sz w:val="17"/>
              </w:rPr>
              <w:t>primaryCustomerId + primaryCustomerIdType (orgId / userId / tenantId)</w:t>
            </w:r>
          </w:p>
        </w:tc>
      </w:tr>
      <w:tr>
        <w:tc>
          <w:tcPr>
            <w:tcW w:type="dxa" w:w="2880"/>
            <w:vAlign w:val="center"/>
          </w:tcPr>
          <w:p>
            <w:pPr>
              <w:spacing w:after="0"/>
            </w:pPr>
            <w:r/>
            <w:r>
              <w:rPr>
                <w:rFonts w:ascii="Aptos" w:hAnsi="Aptos"/>
                <w:b w:val="0"/>
                <w:color w:val="1F2937"/>
                <w:sz w:val="17"/>
              </w:rPr>
              <w:t>Change scope</w:t>
            </w:r>
          </w:p>
        </w:tc>
        <w:tc>
          <w:tcPr>
            <w:tcW w:type="dxa" w:w="7776"/>
            <w:vAlign w:val="center"/>
          </w:tcPr>
          <w:p>
            <w:pPr>
              <w:spacing w:after="0"/>
            </w:pPr>
            <w:r/>
            <w:r>
              <w:rPr>
                <w:rFonts w:ascii="Aptos" w:hAnsi="Aptos"/>
                <w:b w:val="0"/>
                <w:color w:val="1F2937"/>
                <w:sz w:val="17"/>
              </w:rPr>
              <w:t>sku + quantity only; pricing block rejected for Monetization subscriptions</w:t>
            </w:r>
          </w:p>
        </w:tc>
      </w:tr>
      <w:tr>
        <w:tc>
          <w:tcPr>
            <w:tcW w:type="dxa" w:w="2880"/>
            <w:shd w:fill="F4F7FA"/>
            <w:vAlign w:val="center"/>
          </w:tcPr>
          <w:p>
            <w:pPr>
              <w:spacing w:after="0"/>
            </w:pPr>
            <w:r/>
            <w:r>
              <w:rPr>
                <w:rFonts w:ascii="Aptos" w:hAnsi="Aptos"/>
                <w:b w:val="0"/>
                <w:color w:val="1F2937"/>
                <w:sz w:val="17"/>
              </w:rPr>
              <w:t>Policy modes</w:t>
            </w:r>
          </w:p>
        </w:tc>
        <w:tc>
          <w:tcPr>
            <w:tcW w:type="dxa" w:w="7776"/>
            <w:shd w:fill="F4F7FA"/>
            <w:vAlign w:val="center"/>
          </w:tcPr>
          <w:p>
            <w:pPr>
              <w:spacing w:after="0"/>
            </w:pPr>
            <w:r/>
            <w:r>
              <w:rPr>
                <w:rFonts w:ascii="Aptos" w:hAnsi="Aptos"/>
                <w:b w:val="0"/>
                <w:color w:val="1F2937"/>
                <w:sz w:val="17"/>
              </w:rPr>
              <w:t>EOT / IMM / SOT routed through delayedRequestForChangeQuantity()</w:t>
            </w:r>
          </w:p>
        </w:tc>
      </w:tr>
      <w:tr>
        <w:tc>
          <w:tcPr>
            <w:tcW w:type="dxa" w:w="2880"/>
            <w:vAlign w:val="center"/>
          </w:tcPr>
          <w:p>
            <w:pPr>
              <w:spacing w:after="0"/>
            </w:pPr>
            <w:r/>
            <w:r>
              <w:rPr>
                <w:rFonts w:ascii="Aptos" w:hAnsi="Aptos"/>
                <w:b w:val="0"/>
                <w:color w:val="1F2937"/>
                <w:sz w:val="17"/>
              </w:rPr>
              <w:t>Concurrency</w:t>
            </w:r>
          </w:p>
        </w:tc>
        <w:tc>
          <w:tcPr>
            <w:tcW w:type="dxa" w:w="7776"/>
            <w:vAlign w:val="center"/>
          </w:tcPr>
          <w:p>
            <w:pPr>
              <w:spacing w:after="0"/>
            </w:pPr>
            <w:r/>
            <w:r>
              <w:rPr>
                <w:rFonts w:ascii="Aptos" w:hAnsi="Aptos"/>
                <w:b w:val="0"/>
                <w:color w:val="1F2937"/>
                <w:sz w:val="17"/>
              </w:rPr>
              <w:t>ChangeRequestDao using flexible primary-customer lookup</w:t>
            </w:r>
          </w:p>
        </w:tc>
      </w:tr>
      <w:tr>
        <w:tc>
          <w:tcPr>
            <w:tcW w:type="dxa" w:w="2880"/>
            <w:shd w:fill="F4F7FA"/>
            <w:vAlign w:val="center"/>
          </w:tcPr>
          <w:p>
            <w:pPr>
              <w:spacing w:after="0"/>
            </w:pPr>
            <w:r/>
            <w:r>
              <w:rPr>
                <w:rFonts w:ascii="Aptos" w:hAnsi="Aptos"/>
                <w:b w:val="0"/>
                <w:color w:val="1F2937"/>
                <w:sz w:val="17"/>
              </w:rPr>
              <w:t>Schedule conflicts</w:t>
            </w:r>
          </w:p>
        </w:tc>
        <w:tc>
          <w:tcPr>
            <w:tcW w:type="dxa" w:w="7776"/>
            <w:shd w:fill="F4F7FA"/>
            <w:vAlign w:val="center"/>
          </w:tcPr>
          <w:p>
            <w:pPr>
              <w:spacing w:after="0"/>
            </w:pPr>
            <w:r/>
            <w:r>
              <w:rPr>
                <w:rFonts w:ascii="Aptos" w:hAnsi="Aptos"/>
                <w:b w:val="0"/>
                <w:color w:val="1F2937"/>
                <w:sz w:val="17"/>
              </w:rPr>
              <w:t>Blocks when CHANGE_PLAN or CANCELLATION is already PENDING/PROCESSING</w:t>
            </w:r>
          </w:p>
        </w:tc>
      </w:tr>
      <w:tr>
        <w:tc>
          <w:tcPr>
            <w:tcW w:type="dxa" w:w="2880"/>
            <w:vAlign w:val="center"/>
          </w:tcPr>
          <w:p>
            <w:pPr>
              <w:spacing w:after="0"/>
            </w:pPr>
            <w:r/>
            <w:r>
              <w:rPr>
                <w:rFonts w:ascii="Aptos" w:hAnsi="Aptos"/>
                <w:b w:val="0"/>
                <w:color w:val="1F2937"/>
                <w:sz w:val="17"/>
              </w:rPr>
              <w:t>Downstream</w:t>
            </w:r>
          </w:p>
        </w:tc>
        <w:tc>
          <w:tcPr>
            <w:tcW w:type="dxa" w:w="7776"/>
            <w:vAlign w:val="center"/>
          </w:tcPr>
          <w:p>
            <w:pPr>
              <w:spacing w:after="0"/>
            </w:pPr>
            <w:r/>
            <w:r>
              <w:rPr>
                <w:rFonts w:ascii="Aptos" w:hAnsi="Aptos"/>
                <w:b w:val="0"/>
                <w:color w:val="1F2937"/>
                <w:sz w:val="17"/>
              </w:rPr>
              <w:t>EOT path calls SCC updateSubscription() with next BMS billing-cycle start</w:t>
            </w:r>
          </w:p>
        </w:tc>
      </w:tr>
      <w:tr>
        <w:tc>
          <w:tcPr>
            <w:tcW w:type="dxa" w:w="2880"/>
            <w:shd w:fill="F4F7FA"/>
            <w:vAlign w:val="center"/>
          </w:tcPr>
          <w:p>
            <w:pPr>
              <w:spacing w:after="0"/>
            </w:pPr>
            <w:r/>
            <w:r>
              <w:rPr>
                <w:rFonts w:ascii="Aptos" w:hAnsi="Aptos"/>
                <w:b w:val="0"/>
                <w:color w:val="1F2937"/>
                <w:sz w:val="17"/>
              </w:rPr>
              <w:t>Confirmation</w:t>
            </w:r>
          </w:p>
        </w:tc>
        <w:tc>
          <w:tcPr>
            <w:tcW w:type="dxa" w:w="7776"/>
            <w:shd w:fill="F4F7FA"/>
            <w:vAlign w:val="center"/>
          </w:tcPr>
          <w:p>
            <w:pPr>
              <w:spacing w:after="0"/>
            </w:pPr>
            <w:r/>
            <w:r>
              <w:rPr>
                <w:rFonts w:ascii="Aptos" w:hAnsi="Aptos"/>
                <w:b w:val="0"/>
                <w:color w:val="1F2937"/>
                <w:sz w:val="17"/>
              </w:rPr>
              <w:t>POST /webhooks/scc/monetization-change-quantity updates SubscriptionDao.quantity and audit</w:t>
            </w:r>
          </w:p>
        </w:tc>
      </w:tr>
      <w:tr>
        <w:tc>
          <w:tcPr>
            <w:tcW w:type="dxa" w:w="2880"/>
            <w:vAlign w:val="center"/>
          </w:tcPr>
          <w:p>
            <w:pPr>
              <w:spacing w:after="0"/>
            </w:pPr>
            <w:r/>
            <w:r>
              <w:rPr>
                <w:rFonts w:ascii="Aptos" w:hAnsi="Aptos"/>
                <w:b w:val="0"/>
                <w:color w:val="1F2937"/>
                <w:sz w:val="17"/>
              </w:rPr>
              <w:t>Gekko idType</w:t>
            </w:r>
          </w:p>
        </w:tc>
        <w:tc>
          <w:tcPr>
            <w:tcW w:type="dxa" w:w="7776"/>
            <w:vAlign w:val="center"/>
          </w:tcPr>
          <w:p>
            <w:pPr>
              <w:spacing w:after="0"/>
            </w:pPr>
            <w:r/>
            <w:r>
              <w:rPr>
                <w:rFonts w:ascii="Aptos" w:hAnsi="Aptos"/>
                <w:b w:val="0"/>
                <w:color w:val="1F2937"/>
                <w:sz w:val="17"/>
              </w:rPr>
              <w:t>Maps internal SUBSCRIPTIONID to GEKKO before downstream invocation</w:t>
            </w:r>
          </w:p>
        </w:tc>
      </w:tr>
    </w:tbl>
    <w:p>
      <w:pPr>
        <w:spacing w:after="40"/>
      </w:pPr>
    </w:p>
    <w:p>
      <w:pPr>
        <w:pStyle w:val="Heading2"/>
      </w:pPr>
      <w:r>
        <w:t>3.3 V3 Current Status</w:t>
      </w:r>
    </w:p>
    <w:tbl>
      <w:tblPr>
        <w:tblStyle w:val="TableGrid"/>
        <w:tblW w:type="auto" w:w="0"/>
        <w:jc w:val="center"/>
        <w:tblLook w:firstColumn="1" w:firstRow="1" w:lastColumn="0" w:lastRow="0" w:noHBand="0" w:noVBand="1" w:val="04A0"/>
      </w:tblPr>
      <w:tblGrid>
        <w:gridCol w:w="4968"/>
        <w:gridCol w:w="4968"/>
      </w:tblGrid>
      <w:tr>
        <w:tc>
          <w:tcPr>
            <w:tcW w:type="dxa" w:w="3600"/>
            <w:shd w:fill="17365D"/>
            <w:vAlign w:val="center"/>
          </w:tcPr>
          <w:p>
            <w:pPr>
              <w:spacing w:after="0"/>
            </w:pPr>
            <w:r/>
            <w:r>
              <w:rPr>
                <w:rFonts w:ascii="Aptos" w:hAnsi="Aptos"/>
                <w:b/>
                <w:color w:val="FFFFFF"/>
                <w:sz w:val="17"/>
              </w:rPr>
              <w:t>Capability</w:t>
            </w:r>
          </w:p>
        </w:tc>
        <w:tc>
          <w:tcPr>
            <w:tcW w:type="dxa" w:w="7056"/>
            <w:shd w:fill="17365D"/>
            <w:vAlign w:val="center"/>
          </w:tcPr>
          <w:p>
            <w:pPr>
              <w:spacing w:after="0"/>
            </w:pPr>
            <w:r/>
            <w:r>
              <w:rPr>
                <w:rFonts w:ascii="Aptos" w:hAnsi="Aptos"/>
                <w:b/>
                <w:color w:val="FFFFFF"/>
                <w:sz w:val="17"/>
              </w:rPr>
              <w:t>V3 Status</w:t>
            </w:r>
          </w:p>
        </w:tc>
      </w:tr>
      <w:tr>
        <w:tc>
          <w:tcPr>
            <w:tcW w:type="dxa" w:w="3600"/>
            <w:vAlign w:val="center"/>
          </w:tcPr>
          <w:p>
            <w:pPr>
              <w:spacing w:after="0"/>
            </w:pPr>
            <w:r/>
            <w:r>
              <w:rPr>
                <w:rFonts w:ascii="Aptos" w:hAnsi="Aptos"/>
                <w:b w:val="0"/>
                <w:color w:val="1F2937"/>
                <w:sz w:val="17"/>
              </w:rPr>
              <w:t>Endpoint</w:t>
            </w:r>
          </w:p>
        </w:tc>
        <w:tc>
          <w:tcPr>
            <w:tcW w:type="dxa" w:w="7056"/>
            <w:vAlign w:val="center"/>
          </w:tcPr>
          <w:p>
            <w:pPr>
              <w:spacing w:after="0"/>
            </w:pPr>
            <w:r/>
            <w:r>
              <w:rPr>
                <w:rFonts w:ascii="Aptos" w:hAnsi="Aptos"/>
                <w:b/>
                <w:color w:val="C00000"/>
                <w:sz w:val="17"/>
              </w:rPr>
              <w:t>❌ Not implemented — no V3 plan-change endpoint exists</w:t>
            </w:r>
          </w:p>
        </w:tc>
      </w:tr>
      <w:tr>
        <w:tc>
          <w:tcPr>
            <w:tcW w:type="dxa" w:w="3600"/>
            <w:shd w:fill="F4F7FA"/>
            <w:vAlign w:val="center"/>
          </w:tcPr>
          <w:p>
            <w:pPr>
              <w:spacing w:after="0"/>
            </w:pPr>
            <w:r/>
            <w:r>
              <w:rPr>
                <w:rFonts w:ascii="Aptos" w:hAnsi="Aptos"/>
                <w:b w:val="0"/>
                <w:color w:val="1F2937"/>
                <w:sz w:val="17"/>
              </w:rPr>
              <w:t>Policy routing</w:t>
            </w:r>
          </w:p>
        </w:tc>
        <w:tc>
          <w:tcPr>
            <w:tcW w:type="dxa" w:w="7056"/>
            <w:shd w:fill="F4F7FA"/>
            <w:vAlign w:val="center"/>
          </w:tcPr>
          <w:p>
            <w:pPr>
              <w:spacing w:after="0"/>
            </w:pPr>
            <w:r/>
            <w:r>
              <w:rPr>
                <w:rFonts w:ascii="Aptos" w:hAnsi="Aptos"/>
                <w:b/>
                <w:color w:val="C00000"/>
                <w:sz w:val="17"/>
              </w:rPr>
              <w:t>❌ Not started</w:t>
            </w:r>
          </w:p>
        </w:tc>
      </w:tr>
      <w:tr>
        <w:tc>
          <w:tcPr>
            <w:tcW w:type="dxa" w:w="3600"/>
            <w:vAlign w:val="center"/>
          </w:tcPr>
          <w:p>
            <w:pPr>
              <w:spacing w:after="0"/>
            </w:pPr>
            <w:r/>
            <w:r>
              <w:rPr>
                <w:rFonts w:ascii="Aptos" w:hAnsi="Aptos"/>
                <w:b w:val="0"/>
                <w:color w:val="1F2937"/>
                <w:sz w:val="17"/>
              </w:rPr>
              <w:t>Queueing/concurrency</w:t>
            </w:r>
          </w:p>
        </w:tc>
        <w:tc>
          <w:tcPr>
            <w:tcW w:type="dxa" w:w="7056"/>
            <w:vAlign w:val="center"/>
          </w:tcPr>
          <w:p>
            <w:pPr>
              <w:spacing w:after="0"/>
            </w:pPr>
            <w:r/>
            <w:r>
              <w:rPr>
                <w:rFonts w:ascii="Aptos" w:hAnsi="Aptos"/>
                <w:b/>
                <w:color w:val="C00000"/>
                <w:sz w:val="17"/>
              </w:rPr>
              <w:t>❌ Not started</w:t>
            </w:r>
          </w:p>
        </w:tc>
      </w:tr>
      <w:tr>
        <w:tc>
          <w:tcPr>
            <w:tcW w:type="dxa" w:w="3600"/>
            <w:shd w:fill="F4F7FA"/>
            <w:vAlign w:val="center"/>
          </w:tcPr>
          <w:p>
            <w:pPr>
              <w:spacing w:after="0"/>
            </w:pPr>
            <w:r/>
            <w:r>
              <w:rPr>
                <w:rFonts w:ascii="Aptos" w:hAnsi="Aptos"/>
                <w:b w:val="0"/>
                <w:color w:val="1F2937"/>
                <w:sz w:val="17"/>
              </w:rPr>
              <w:t>Deduplication</w:t>
            </w:r>
          </w:p>
        </w:tc>
        <w:tc>
          <w:tcPr>
            <w:tcW w:type="dxa" w:w="7056"/>
            <w:shd w:fill="F4F7FA"/>
            <w:vAlign w:val="center"/>
          </w:tcPr>
          <w:p>
            <w:pPr>
              <w:spacing w:after="0"/>
            </w:pPr>
            <w:r/>
            <w:r>
              <w:rPr>
                <w:rFonts w:ascii="Aptos" w:hAnsi="Aptos"/>
                <w:b/>
                <w:color w:val="C00000"/>
                <w:sz w:val="17"/>
              </w:rPr>
              <w:t>❌ Not started</w:t>
            </w:r>
          </w:p>
        </w:tc>
      </w:tr>
      <w:tr>
        <w:tc>
          <w:tcPr>
            <w:tcW w:type="dxa" w:w="3600"/>
            <w:vAlign w:val="center"/>
          </w:tcPr>
          <w:p>
            <w:pPr>
              <w:spacing w:after="0"/>
            </w:pPr>
            <w:r/>
            <w:r>
              <w:rPr>
                <w:rFonts w:ascii="Aptos" w:hAnsi="Aptos"/>
                <w:b w:val="0"/>
                <w:color w:val="1F2937"/>
                <w:sz w:val="17"/>
              </w:rPr>
              <w:t>Gekko/SCC integration</w:t>
            </w:r>
          </w:p>
        </w:tc>
        <w:tc>
          <w:tcPr>
            <w:tcW w:type="dxa" w:w="7056"/>
            <w:vAlign w:val="center"/>
          </w:tcPr>
          <w:p>
            <w:pPr>
              <w:spacing w:after="0"/>
            </w:pPr>
            <w:r/>
            <w:r>
              <w:rPr>
                <w:rFonts w:ascii="Aptos" w:hAnsi="Aptos"/>
                <w:b/>
                <w:color w:val="C00000"/>
                <w:sz w:val="17"/>
              </w:rPr>
              <w:t>❌ Not started</w:t>
            </w:r>
          </w:p>
        </w:tc>
      </w:tr>
      <w:tr>
        <w:tc>
          <w:tcPr>
            <w:tcW w:type="dxa" w:w="3600"/>
            <w:shd w:fill="F4F7FA"/>
            <w:vAlign w:val="center"/>
          </w:tcPr>
          <w:p>
            <w:pPr>
              <w:spacing w:after="0"/>
            </w:pPr>
            <w:r/>
            <w:r>
              <w:rPr>
                <w:rFonts w:ascii="Aptos" w:hAnsi="Aptos"/>
                <w:b w:val="0"/>
                <w:color w:val="1F2937"/>
                <w:sz w:val="17"/>
              </w:rPr>
              <w:t>Event/webhook confirmation</w:t>
            </w:r>
          </w:p>
        </w:tc>
        <w:tc>
          <w:tcPr>
            <w:tcW w:type="dxa" w:w="7056"/>
            <w:shd w:fill="F4F7FA"/>
            <w:vAlign w:val="center"/>
          </w:tcPr>
          <w:p>
            <w:pPr>
              <w:spacing w:after="0"/>
            </w:pPr>
            <w:r/>
            <w:r>
              <w:rPr>
                <w:rFonts w:ascii="Aptos" w:hAnsi="Aptos"/>
                <w:b/>
                <w:color w:val="C00000"/>
                <w:sz w:val="17"/>
              </w:rPr>
              <w:t>❌ Not started</w:t>
            </w:r>
          </w:p>
        </w:tc>
      </w:tr>
    </w:tbl>
    <w:p>
      <w:pPr>
        <w:spacing w:after="40"/>
      </w:pPr>
    </w:p>
    <w:p>
      <w:pPr>
        <w:pStyle w:val="Heading2"/>
      </w:pPr>
      <w:r>
        <w:t>3.4 Projected V3 Field Mapping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shd w:fill="17365D"/>
            <w:vAlign w:val="center"/>
          </w:tcPr>
          <w:p>
            <w:pPr>
              <w:spacing w:after="0"/>
            </w:pPr>
            <w:r/>
            <w:r>
              <w:rPr>
                <w:rFonts w:ascii="Aptos" w:hAnsi="Aptos"/>
                <w:b/>
                <w:color w:val="FFFFFF"/>
                <w:sz w:val="17"/>
              </w:rPr>
              <w:t>V1 Field</w:t>
            </w:r>
          </w:p>
        </w:tc>
        <w:tc>
          <w:tcPr>
            <w:tcW w:type="dxa" w:w="2232"/>
            <w:shd w:fill="17365D"/>
            <w:vAlign w:val="center"/>
          </w:tcPr>
          <w:p>
            <w:pPr>
              <w:spacing w:after="0"/>
            </w:pPr>
            <w:r/>
            <w:r>
              <w:rPr>
                <w:rFonts w:ascii="Aptos" w:hAnsi="Aptos"/>
                <w:b/>
                <w:color w:val="FFFFFF"/>
                <w:sz w:val="17"/>
              </w:rPr>
              <w:t>V2 Field</w:t>
            </w:r>
          </w:p>
        </w:tc>
        <w:tc>
          <w:tcPr>
            <w:tcW w:type="dxa" w:w="3672"/>
            <w:shd w:fill="17365D"/>
            <w:vAlign w:val="center"/>
          </w:tcPr>
          <w:p>
            <w:pPr>
              <w:spacing w:after="0"/>
            </w:pPr>
            <w:r/>
            <w:r>
              <w:rPr>
                <w:rFonts w:ascii="Aptos" w:hAnsi="Aptos"/>
                <w:b/>
                <w:color w:val="FFFFFF"/>
                <w:sz w:val="17"/>
              </w:rPr>
              <w:t>V3 Equivalent / Proposal</w:t>
            </w:r>
          </w:p>
        </w:tc>
        <w:tc>
          <w:tcPr>
            <w:tcW w:type="dxa" w:w="2520"/>
            <w:shd w:fill="17365D"/>
            <w:vAlign w:val="center"/>
          </w:tcPr>
          <w:p>
            <w:pPr>
              <w:spacing w:after="0"/>
            </w:pPr>
            <w:r/>
            <w:r>
              <w:rPr>
                <w:rFonts w:ascii="Aptos" w:hAnsi="Aptos"/>
                <w:b/>
                <w:color w:val="FFFFFF"/>
                <w:sz w:val="17"/>
              </w:rPr>
              <w:t>Design Note</w:t>
            </w:r>
          </w:p>
        </w:tc>
      </w:tr>
      <w:tr>
        <w:tc>
          <w:tcPr>
            <w:tcW w:type="dxa" w:w="2232"/>
            <w:vAlign w:val="center"/>
          </w:tcPr>
          <w:p>
            <w:pPr>
              <w:spacing w:after="0"/>
            </w:pPr>
            <w:r/>
            <w:r>
              <w:rPr>
                <w:rFonts w:ascii="Aptos" w:hAnsi="Aptos"/>
                <w:b w:val="0"/>
                <w:color w:val="1F2937"/>
                <w:sz w:val="17"/>
              </w:rPr>
              <w:t>policy</w:t>
            </w:r>
          </w:p>
        </w:tc>
        <w:tc>
          <w:tcPr>
            <w:tcW w:type="dxa" w:w="2232"/>
            <w:vAlign w:val="center"/>
          </w:tcPr>
          <w:p>
            <w:pPr>
              <w:spacing w:after="0"/>
            </w:pPr>
            <w:r/>
            <w:r>
              <w:rPr>
                <w:rFonts w:ascii="Aptos" w:hAnsi="Aptos"/>
                <w:b w:val="0"/>
                <w:color w:val="1F2937"/>
                <w:sz w:val="17"/>
              </w:rPr>
              <w:t>policy</w:t>
            </w:r>
          </w:p>
        </w:tc>
        <w:tc>
          <w:tcPr>
            <w:tcW w:type="dxa" w:w="3672"/>
            <w:vAlign w:val="center"/>
          </w:tcPr>
          <w:p>
            <w:pPr>
              <w:spacing w:after="0"/>
            </w:pPr>
            <w:r/>
            <w:r>
              <w:rPr>
                <w:rFonts w:ascii="Aptos" w:hAnsi="Aptos"/>
                <w:b w:val="0"/>
                <w:color w:val="1F2937"/>
                <w:sz w:val="17"/>
              </w:rPr>
              <w:t>policy</w:t>
            </w:r>
          </w:p>
        </w:tc>
        <w:tc>
          <w:tcPr>
            <w:tcW w:type="dxa" w:w="2520"/>
            <w:vAlign w:val="center"/>
          </w:tcPr>
          <w:p>
            <w:pPr>
              <w:spacing w:after="0"/>
            </w:pPr>
            <w:r/>
            <w:r>
              <w:rPr>
                <w:rFonts w:ascii="Aptos" w:hAnsi="Aptos"/>
                <w:b w:val="0"/>
                <w:color w:val="1F2937"/>
                <w:sz w:val="17"/>
              </w:rPr>
              <w:t>Keep existing policy field</w:t>
            </w:r>
          </w:p>
        </w:tc>
      </w:tr>
      <w:tr>
        <w:tc>
          <w:tcPr>
            <w:tcW w:type="dxa" w:w="2232"/>
            <w:shd w:fill="F4F7FA"/>
            <w:vAlign w:val="center"/>
          </w:tcPr>
          <w:p>
            <w:pPr>
              <w:spacing w:after="0"/>
            </w:pPr>
            <w:r/>
            <w:r>
              <w:rPr>
                <w:rFonts w:ascii="Aptos" w:hAnsi="Aptos"/>
                <w:b w:val="0"/>
                <w:color w:val="1F2937"/>
                <w:sz w:val="17"/>
              </w:rPr>
              <w:t>tenantId</w:t>
            </w:r>
          </w:p>
        </w:tc>
        <w:tc>
          <w:tcPr>
            <w:tcW w:type="dxa" w:w="2232"/>
            <w:shd w:fill="F4F7FA"/>
            <w:vAlign w:val="center"/>
          </w:tcPr>
          <w:p>
            <w:pPr>
              <w:spacing w:after="0"/>
            </w:pPr>
            <w:r/>
            <w:r>
              <w:rPr>
                <w:rFonts w:ascii="Aptos" w:hAnsi="Aptos"/>
                <w:b w:val="0"/>
                <w:color w:val="1F2937"/>
                <w:sz w:val="17"/>
              </w:rPr>
              <w:t>primaryCustomerId + primaryCustomerIdType</w:t>
            </w:r>
          </w:p>
        </w:tc>
        <w:tc>
          <w:tcPr>
            <w:tcW w:type="dxa" w:w="3672"/>
            <w:shd w:fill="F4F7FA"/>
            <w:vAlign w:val="center"/>
          </w:tcPr>
          <w:p>
            <w:pPr>
              <w:spacing w:after="0"/>
            </w:pPr>
            <w:r/>
            <w:r>
              <w:rPr>
                <w:rFonts w:ascii="Aptos" w:hAnsi="Aptos"/>
                <w:b w:val="0"/>
                <w:color w:val="1F2937"/>
                <w:sz w:val="17"/>
              </w:rPr>
              <w:t>customer.primaryCustomerId + customer.primaryCustomerIdType</w:t>
            </w:r>
          </w:p>
        </w:tc>
        <w:tc>
          <w:tcPr>
            <w:tcW w:type="dxa" w:w="2520"/>
            <w:shd w:fill="F4F7FA"/>
            <w:vAlign w:val="center"/>
          </w:tcPr>
          <w:p>
            <w:pPr>
              <w:spacing w:after="0"/>
            </w:pPr>
            <w:r/>
            <w:r>
              <w:rPr>
                <w:rFonts w:ascii="Aptos" w:hAnsi="Aptos"/>
                <w:b w:val="0"/>
                <w:color w:val="1F2937"/>
                <w:sz w:val="17"/>
              </w:rPr>
              <w:t>Adopt V2 flexible customer model</w:t>
            </w:r>
          </w:p>
        </w:tc>
      </w:tr>
      <w:tr>
        <w:tc>
          <w:tcPr>
            <w:tcW w:type="dxa" w:w="2232"/>
            <w:vAlign w:val="center"/>
          </w:tcPr>
          <w:p>
            <w:pPr>
              <w:spacing w:after="0"/>
            </w:pPr>
            <w:r/>
            <w:r>
              <w:rPr>
                <w:rFonts w:ascii="Aptos" w:hAnsi="Aptos"/>
                <w:b w:val="0"/>
                <w:color w:val="1F2937"/>
                <w:sz w:val="17"/>
              </w:rPr>
              <w:t>items[].productId, price, fmv, allocatedRevenue</w:t>
            </w:r>
          </w:p>
        </w:tc>
        <w:tc>
          <w:tcPr>
            <w:tcW w:type="dxa" w:w="2232"/>
            <w:vAlign w:val="center"/>
          </w:tcPr>
          <w:p>
            <w:pPr>
              <w:spacing w:after="0"/>
            </w:pPr>
            <w:r/>
            <w:r>
              <w:rPr>
                <w:rFonts w:ascii="Aptos" w:hAnsi="Aptos"/>
                <w:b w:val="0"/>
                <w:color w:val="1F2937"/>
                <w:sz w:val="17"/>
              </w:rPr>
              <w:t>items[].sku, quantity</w:t>
            </w:r>
          </w:p>
        </w:tc>
        <w:tc>
          <w:tcPr>
            <w:tcW w:type="dxa" w:w="3672"/>
            <w:vAlign w:val="center"/>
          </w:tcPr>
          <w:p>
            <w:pPr>
              <w:spacing w:after="0"/>
            </w:pPr>
            <w:r/>
            <w:r>
              <w:rPr>
                <w:rFonts w:ascii="Aptos" w:hAnsi="Aptos"/>
                <w:b w:val="0"/>
                <w:color w:val="1F2937"/>
                <w:sz w:val="17"/>
              </w:rPr>
              <w:t>Both pricing adjustments[] and sku/quantity</w:t>
            </w:r>
          </w:p>
        </w:tc>
        <w:tc>
          <w:tcPr>
            <w:tcW w:type="dxa" w:w="2520"/>
            <w:vAlign w:val="center"/>
          </w:tcPr>
          <w:p>
            <w:pPr>
              <w:spacing w:after="0"/>
            </w:pPr>
            <w:r/>
            <w:r>
              <w:rPr>
                <w:rFonts w:ascii="Aptos" w:hAnsi="Aptos"/>
                <w:b w:val="0"/>
                <w:color w:val="1F2937"/>
                <w:sz w:val="17"/>
              </w:rPr>
              <w:t>Unified schema; gated by businessContext</w:t>
            </w:r>
          </w:p>
        </w:tc>
      </w:tr>
      <w:tr>
        <w:tc>
          <w:tcPr>
            <w:tcW w:type="dxa" w:w="2232"/>
            <w:shd w:fill="F4F7FA"/>
            <w:vAlign w:val="center"/>
          </w:tcPr>
          <w:p>
            <w:pPr>
              <w:spacing w:after="0"/>
            </w:pPr>
            <w:r/>
            <w:r>
              <w:rPr>
                <w:rFonts w:ascii="Aptos" w:hAnsi="Aptos"/>
                <w:b w:val="0"/>
                <w:color w:val="1F2937"/>
                <w:sz w:val="17"/>
              </w:rPr>
              <w:t>N/A</w:t>
            </w:r>
          </w:p>
        </w:tc>
        <w:tc>
          <w:tcPr>
            <w:tcW w:type="dxa" w:w="2232"/>
            <w:shd w:fill="F4F7FA"/>
            <w:vAlign w:val="center"/>
          </w:tcPr>
          <w:p>
            <w:pPr>
              <w:spacing w:after="0"/>
            </w:pPr>
            <w:r/>
            <w:r>
              <w:rPr>
                <w:rFonts w:ascii="Aptos" w:hAnsi="Aptos"/>
                <w:b w:val="0"/>
                <w:color w:val="1F2937"/>
                <w:sz w:val="17"/>
              </w:rPr>
              <w:t>Monetization blocks pricing</w:t>
            </w:r>
          </w:p>
        </w:tc>
        <w:tc>
          <w:tcPr>
            <w:tcW w:type="dxa" w:w="3672"/>
            <w:shd w:fill="F4F7FA"/>
            <w:vAlign w:val="center"/>
          </w:tcPr>
          <w:p>
            <w:pPr>
              <w:spacing w:after="0"/>
            </w:pPr>
            <w:r/>
            <w:r>
              <w:rPr>
                <w:rFonts w:ascii="Aptos" w:hAnsi="Aptos"/>
                <w:b w:val="0"/>
                <w:color w:val="1F2937"/>
                <w:sz w:val="17"/>
              </w:rPr>
              <w:t>businessContext rule matrix</w:t>
            </w:r>
          </w:p>
        </w:tc>
        <w:tc>
          <w:tcPr>
            <w:tcW w:type="dxa" w:w="2520"/>
            <w:shd w:fill="F4F7FA"/>
            <w:vAlign w:val="center"/>
          </w:tcPr>
          <w:p>
            <w:pPr>
              <w:spacing w:after="0"/>
            </w:pPr>
            <w:r/>
            <w:r>
              <w:rPr>
                <w:rFonts w:ascii="Aptos" w:hAnsi="Aptos"/>
                <w:b w:val="0"/>
                <w:color w:val="1F2937"/>
                <w:sz w:val="17"/>
              </w:rPr>
              <w:t>Avoid hardcoding a program name</w:t>
            </w:r>
          </w:p>
        </w:tc>
      </w:tr>
      <w:tr>
        <w:tc>
          <w:tcPr>
            <w:tcW w:type="dxa" w:w="2232"/>
            <w:vAlign w:val="center"/>
          </w:tcPr>
          <w:p>
            <w:pPr>
              <w:spacing w:after="0"/>
            </w:pPr>
            <w:r/>
            <w:r>
              <w:rPr>
                <w:rFonts w:ascii="Aptos" w:hAnsi="Aptos"/>
                <w:b w:val="0"/>
                <w:color w:val="1F2937"/>
                <w:sz w:val="17"/>
              </w:rPr>
              <w:t>Gekko direct + event</w:t>
            </w:r>
          </w:p>
        </w:tc>
        <w:tc>
          <w:tcPr>
            <w:tcW w:type="dxa" w:w="2232"/>
            <w:vAlign w:val="center"/>
          </w:tcPr>
          <w:p>
            <w:pPr>
              <w:spacing w:after="0"/>
            </w:pPr>
            <w:r/>
            <w:r>
              <w:rPr>
                <w:rFonts w:ascii="Aptos" w:hAnsi="Aptos"/>
                <w:b w:val="0"/>
                <w:color w:val="1F2937"/>
                <w:sz w:val="17"/>
              </w:rPr>
              <w:t>SCC + webhook</w:t>
            </w:r>
          </w:p>
        </w:tc>
        <w:tc>
          <w:tcPr>
            <w:tcW w:type="dxa" w:w="3672"/>
            <w:vAlign w:val="center"/>
          </w:tcPr>
          <w:p>
            <w:pPr>
              <w:spacing w:after="0"/>
            </w:pPr>
            <w:r/>
            <w:r>
              <w:rPr>
                <w:rFonts w:ascii="Aptos" w:hAnsi="Aptos"/>
                <w:b w:val="0"/>
                <w:color w:val="1F2937"/>
                <w:sz w:val="17"/>
              </w:rPr>
              <w:t>Both paths</w:t>
            </w:r>
          </w:p>
        </w:tc>
        <w:tc>
          <w:tcPr>
            <w:tcW w:type="dxa" w:w="2520"/>
            <w:vAlign w:val="center"/>
          </w:tcPr>
          <w:p>
            <w:pPr>
              <w:spacing w:after="0"/>
            </w:pPr>
            <w:r/>
            <w:r>
              <w:rPr>
                <w:rFonts w:ascii="Aptos" w:hAnsi="Aptos"/>
                <w:b w:val="0"/>
                <w:color w:val="1F2937"/>
                <w:sz w:val="17"/>
              </w:rPr>
              <w:t>Route by change type/program</w:t>
            </w:r>
          </w:p>
        </w:tc>
      </w:tr>
    </w:tbl>
    <w:p>
      <w:pPr>
        <w:spacing w:after="40"/>
      </w:pPr>
    </w:p>
    <w:p>
      <w:pPr>
        <w:pStyle w:val="Heading2"/>
      </w:pPr>
      <w:r>
        <w:t>3.5 Plan Change Gaps to Close</w:t>
      </w:r>
    </w:p>
    <w:p>
      <w:pPr>
        <w:pStyle w:val="ListNumber"/>
        <w:spacing w:after="60"/>
      </w:pPr>
      <w:r>
        <w:t>Build PUT /v3/subscriptions/{id}/update in SubscriptionV3RestController and back it with SubscriptionServiceV3Impl.updateSubscriptionPlan().</w:t>
      </w:r>
    </w:p>
    <w:p>
      <w:pPr>
        <w:pStyle w:val="ListNumber"/>
        <w:spacing w:after="60"/>
      </w:pPr>
      <w:r>
        <w:t>Create a unified request/item schema supporting both quantity-only and full-pricing changes.</w:t>
      </w:r>
    </w:p>
    <w:p>
      <w:pPr>
        <w:pStyle w:val="ListNumber"/>
        <w:spacing w:after="60"/>
      </w:pPr>
      <w:r>
        <w:t>Adopt primaryCustomerId + primaryCustomerIdType rather than V1's tenantId-only approach.</w:t>
      </w:r>
    </w:p>
    <w:p>
      <w:pPr>
        <w:pStyle w:val="ListNumber"/>
        <w:spacing w:after="60"/>
      </w:pPr>
      <w:r>
        <w:t>Reuse the ChangeRequestDao state machine: PENDING → PROCESSING → CONFIRMED / OVERRIDDEN / VALIDATION_ERROR.</w:t>
      </w:r>
    </w:p>
    <w:p>
      <w:pPr>
        <w:pStyle w:val="ListNumber"/>
        <w:spacing w:after="60"/>
      </w:pPr>
      <w:r>
        <w:t>Port IMM/SOT/EOT effective-date behavior using BMS getBillingCycleDate().</w:t>
      </w:r>
    </w:p>
    <w:p>
      <w:pPr>
        <w:pStyle w:val="ListNumber"/>
        <w:spacing w:after="60"/>
      </w:pPr>
      <w:r>
        <w:t>Port duplicate detection with awareness of the V3 adjustments-array structure.</w:t>
      </w:r>
    </w:p>
    <w:p>
      <w:pPr>
        <w:pStyle w:val="ListNumber"/>
        <w:spacing w:after="60"/>
      </w:pPr>
      <w:r>
        <w:t>Support both Gekko-direct and SCC+webhook integration paths and route them by change type/program.</w:t>
      </w:r>
    </w:p>
    <w:p>
      <w:pPr>
        <w:pStyle w:val="ListNumber"/>
        <w:spacing w:after="60"/>
      </w:pPr>
      <w:r>
        <w:t>Extend event and webhook confirmation flows to resolve against SubscriptionDaoV3.</w:t>
      </w:r>
    </w:p>
    <w:p>
      <w:pPr>
        <w:pStyle w:val="ListNumber"/>
        <w:spacing w:after="60"/>
      </w:pPr>
      <w:r>
        <w:t>Convert program-specific restrictions into a businessContext-driven rule matrix.</w:t>
      </w:r>
    </w:p>
    <w:p>
      <w:pPr>
        <w:pStyle w:val="Heading1"/>
      </w:pPr>
      <w:r>
        <w:t>4. Cross-Cutting Design Principles</w:t>
      </w:r>
    </w:p>
    <w:p>
      <w:pPr>
        <w:spacing w:after="100"/>
      </w:pPr>
      <w:r>
        <w:rPr>
          <w:b/>
          <w:color w:val="2F75B5"/>
        </w:rPr>
        <w:t xml:space="preserve">Business-context driven rules: </w:t>
      </w:r>
      <w:r>
        <w:t>Rules such as returnShipmentFeeSku requirements, PAGE_SET overage handling, BASE-only multi-item rules, and pricing restrictions should be conditionally applied using metadata.businessContext.</w:t>
      </w:r>
    </w:p>
    <w:p>
      <w:pPr>
        <w:spacing w:after="100"/>
      </w:pPr>
      <w:r>
        <w:rPr>
          <w:b/>
          <w:color w:val="2F75B5"/>
        </w:rPr>
        <w:t xml:space="preserve">Country-aware behavior: </w:t>
      </w:r>
      <w:r>
        <w:t>Fees, taxes, currency and other country-specific behavior should follow the CountryFeatureMatrix pattern already used for GEO fee injection.</w:t>
      </w:r>
    </w:p>
    <w:p>
      <w:pPr>
        <w:spacing w:after="100"/>
      </w:pPr>
      <w:r>
        <w:rPr>
          <w:b/>
          <w:color w:val="2F75B5"/>
        </w:rPr>
        <w:t xml:space="preserve">Adjustment-based pricing: </w:t>
      </w:r>
      <w:r>
        <w:t>V3 pricing is represented by pricing.adjustments[{type, amount, code}]. Ported logic must read and write through this structure.</w:t>
      </w:r>
    </w:p>
    <w:p>
      <w:pPr>
        <w:spacing w:after="100"/>
      </w:pPr>
      <w:r>
        <w:rPr>
          <w:b/>
          <w:color w:val="2F75B5"/>
        </w:rPr>
        <w:t xml:space="preserve">Flexible customer identity: </w:t>
      </w:r>
      <w:r>
        <w:t>Use primaryCustomerId + primaryCustomerIdType as the common customer key pattern proven by V2.</w:t>
      </w:r>
    </w:p>
    <w:p>
      <w:pPr>
        <w:spacing w:after="100"/>
      </w:pPr>
      <w:r>
        <w:rPr>
          <w:b/>
          <w:color w:val="2F75B5"/>
        </w:rPr>
        <w:t xml:space="preserve">Dual downstream integration: </w:t>
      </w:r>
      <w:r>
        <w:t>Do not force all plan changes through one system. Gekko and SCC remain distinct integration paths with different confirmation mechanisms.</w:t>
      </w:r>
    </w:p>
    <w:p>
      <w:pPr>
        <w:pStyle w:val="Heading1"/>
      </w:pPr>
      <w:r>
        <w:t>5. V3 Parity Backlog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shd w:fill="17365D"/>
            <w:vAlign w:val="center"/>
          </w:tcPr>
          <w:p>
            <w:pPr>
              <w:spacing w:after="0"/>
            </w:pPr>
            <w:r/>
            <w:r>
              <w:rPr>
                <w:rFonts w:ascii="Aptos" w:hAnsi="Aptos"/>
                <w:b/>
                <w:color w:val="FFFFFF"/>
                <w:sz w:val="17"/>
              </w:rPr>
              <w:t>Flow</w:t>
            </w:r>
          </w:p>
        </w:tc>
        <w:tc>
          <w:tcPr>
            <w:tcW w:type="dxa" w:w="5616"/>
            <w:shd w:fill="17365D"/>
            <w:vAlign w:val="center"/>
          </w:tcPr>
          <w:p>
            <w:pPr>
              <w:spacing w:after="0"/>
            </w:pPr>
            <w:r/>
            <w:r>
              <w:rPr>
                <w:rFonts w:ascii="Aptos" w:hAnsi="Aptos"/>
                <w:b/>
                <w:color w:val="FFFFFF"/>
                <w:sz w:val="17"/>
              </w:rPr>
              <w:t>Feature</w:t>
            </w:r>
          </w:p>
        </w:tc>
        <w:tc>
          <w:tcPr>
            <w:tcW w:type="dxa" w:w="1584"/>
            <w:shd w:fill="17365D"/>
            <w:vAlign w:val="center"/>
          </w:tcPr>
          <w:p>
            <w:pPr>
              <w:spacing w:after="0"/>
            </w:pPr>
            <w:r/>
            <w:r>
              <w:rPr>
                <w:rFonts w:ascii="Aptos" w:hAnsi="Aptos"/>
                <w:b/>
                <w:color w:val="FFFFFF"/>
                <w:sz w:val="17"/>
              </w:rPr>
              <w:t>Status</w:t>
            </w:r>
          </w:p>
        </w:tc>
        <w:tc>
          <w:tcPr>
            <w:tcW w:type="dxa" w:w="1872"/>
            <w:shd w:fill="17365D"/>
            <w:vAlign w:val="center"/>
          </w:tcPr>
          <w:p>
            <w:pPr>
              <w:spacing w:after="0"/>
            </w:pPr>
            <w:r/>
            <w:r>
              <w:rPr>
                <w:rFonts w:ascii="Aptos" w:hAnsi="Aptos"/>
                <w:b/>
                <w:color w:val="FFFFFF"/>
                <w:sz w:val="17"/>
              </w:rPr>
              <w:t>Priority</w:t>
            </w:r>
          </w:p>
        </w:tc>
      </w:tr>
      <w:tr>
        <w:tc>
          <w:tcPr>
            <w:tcW w:type="dxa" w:w="1584"/>
            <w:vAlign w:val="center"/>
          </w:tcPr>
          <w:p>
            <w:pPr>
              <w:spacing w:after="0"/>
            </w:pPr>
            <w:r/>
            <w:r>
              <w:rPr>
                <w:rFonts w:ascii="Aptos" w:hAnsi="Aptos"/>
                <w:b w:val="0"/>
                <w:color w:val="1F2937"/>
                <w:sz w:val="17"/>
              </w:rPr>
              <w:t>Upgrade</w:t>
            </w:r>
          </w:p>
        </w:tc>
        <w:tc>
          <w:tcPr>
            <w:tcW w:type="dxa" w:w="5616"/>
            <w:vAlign w:val="center"/>
          </w:tcPr>
          <w:p>
            <w:pPr>
              <w:spacing w:after="0"/>
            </w:pPr>
            <w:r/>
            <w:r>
              <w:rPr>
                <w:rFonts w:ascii="Aptos" w:hAnsi="Aptos"/>
                <w:b w:val="0"/>
                <w:color w:val="1F2937"/>
                <w:sz w:val="17"/>
              </w:rPr>
              <w:t>Basic validation (parentOrderId, ACTIVE check, returnShipmentFeeSku)</w:t>
            </w:r>
          </w:p>
        </w:tc>
        <w:tc>
          <w:tcPr>
            <w:tcW w:type="dxa" w:w="1584"/>
            <w:vAlign w:val="center"/>
          </w:tcPr>
          <w:p>
            <w:pPr>
              <w:spacing w:after="0"/>
            </w:pPr>
            <w:r/>
            <w:r>
              <w:rPr>
                <w:rFonts w:ascii="Aptos" w:hAnsi="Aptos"/>
                <w:b/>
                <w:color w:val="70AD47"/>
                <w:sz w:val="17"/>
              </w:rPr>
              <w:t>✅ Done</w:t>
            </w:r>
          </w:p>
        </w:tc>
        <w:tc>
          <w:tcPr>
            <w:tcW w:type="dxa" w:w="1872"/>
            <w:vAlign w:val="center"/>
          </w:tcPr>
          <w:p>
            <w:pPr>
              <w:spacing w:after="0"/>
            </w:pPr>
            <w:r/>
            <w:r>
              <w:rPr>
                <w:rFonts w:ascii="Aptos" w:hAnsi="Aptos"/>
                <w:b/>
                <w:color w:val="70AD47"/>
                <w:sz w:val="17"/>
              </w:rPr>
              <w:t>—</w:t>
            </w:r>
          </w:p>
        </w:tc>
      </w:tr>
      <w:tr>
        <w:tc>
          <w:tcPr>
            <w:tcW w:type="dxa" w:w="1584"/>
            <w:shd w:fill="F4F7FA"/>
            <w:vAlign w:val="center"/>
          </w:tcPr>
          <w:p>
            <w:pPr>
              <w:spacing w:after="0"/>
            </w:pPr>
            <w:r/>
            <w:r>
              <w:rPr>
                <w:rFonts w:ascii="Aptos" w:hAnsi="Aptos"/>
                <w:b w:val="0"/>
                <w:color w:val="1F2937"/>
                <w:sz w:val="17"/>
              </w:rPr>
              <w:t>Upgrade</w:t>
            </w:r>
          </w:p>
        </w:tc>
        <w:tc>
          <w:tcPr>
            <w:tcW w:type="dxa" w:w="5616"/>
            <w:shd w:fill="F4F7FA"/>
            <w:vAlign w:val="center"/>
          </w:tcPr>
          <w:p>
            <w:pPr>
              <w:spacing w:after="0"/>
            </w:pPr>
            <w:r/>
            <w:r>
              <w:rPr>
                <w:rFonts w:ascii="Aptos" w:hAnsi="Aptos"/>
                <w:b w:val="0"/>
                <w:color w:val="1F2937"/>
                <w:sz w:val="17"/>
              </w:rPr>
              <w:t>HW proration calculation</w:t>
            </w:r>
          </w:p>
        </w:tc>
        <w:tc>
          <w:tcPr>
            <w:tcW w:type="dxa" w:w="1584"/>
            <w:shd w:fill="F4F7FA"/>
            <w:vAlign w:val="center"/>
          </w:tcPr>
          <w:p>
            <w:pPr>
              <w:spacing w:after="0"/>
            </w:pPr>
            <w:r/>
            <w:r>
              <w:rPr>
                <w:rFonts w:ascii="Aptos" w:hAnsi="Aptos"/>
                <w:b/>
                <w:color w:val="70AD47"/>
                <w:sz w:val="17"/>
              </w:rPr>
              <w:t>✅ Done</w:t>
            </w:r>
          </w:p>
        </w:tc>
        <w:tc>
          <w:tcPr>
            <w:tcW w:type="dxa" w:w="1872"/>
            <w:shd w:fill="F4F7FA"/>
            <w:vAlign w:val="center"/>
          </w:tcPr>
          <w:p>
            <w:pPr>
              <w:spacing w:after="0"/>
            </w:pPr>
            <w:r/>
            <w:r>
              <w:rPr>
                <w:rFonts w:ascii="Aptos" w:hAnsi="Aptos"/>
                <w:b/>
                <w:color w:val="70AD47"/>
                <w:sz w:val="17"/>
              </w:rPr>
              <w:t>—</w:t>
            </w:r>
          </w:p>
        </w:tc>
      </w:tr>
      <w:tr>
        <w:tc>
          <w:tcPr>
            <w:tcW w:type="dxa" w:w="1584"/>
            <w:vAlign w:val="center"/>
          </w:tcPr>
          <w:p>
            <w:pPr>
              <w:spacing w:after="0"/>
            </w:pPr>
            <w:r/>
            <w:r>
              <w:rPr>
                <w:rFonts w:ascii="Aptos" w:hAnsi="Aptos"/>
                <w:b w:val="0"/>
                <w:color w:val="1F2937"/>
                <w:sz w:val="17"/>
              </w:rPr>
              <w:t>Upgrade</w:t>
            </w:r>
          </w:p>
        </w:tc>
        <w:tc>
          <w:tcPr>
            <w:tcW w:type="dxa" w:w="5616"/>
            <w:vAlign w:val="center"/>
          </w:tcPr>
          <w:p>
            <w:pPr>
              <w:spacing w:after="0"/>
            </w:pPr>
            <w:r/>
            <w:r>
              <w:rPr>
                <w:rFonts w:ascii="Aptos" w:hAnsi="Aptos"/>
                <w:b w:val="0"/>
                <w:color w:val="1F2937"/>
                <w:sz w:val="17"/>
              </w:rPr>
              <w:t>Lowest overage price (Month 1)</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Upgrade</w:t>
            </w:r>
          </w:p>
        </w:tc>
        <w:tc>
          <w:tcPr>
            <w:tcW w:type="dxa" w:w="5616"/>
            <w:shd w:fill="F4F7FA"/>
            <w:vAlign w:val="center"/>
          </w:tcPr>
          <w:p>
            <w:pPr>
              <w:spacing w:after="0"/>
            </w:pPr>
            <w:r/>
            <w:r>
              <w:rPr>
                <w:rFonts w:ascii="Aptos" w:hAnsi="Aptos"/>
                <w:b w:val="0"/>
                <w:color w:val="1F2937"/>
                <w:sz w:val="17"/>
              </w:rPr>
              <w:t>Old subscription DEACTIVATING + undo overages/changes</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C00000"/>
                <w:sz w:val="17"/>
              </w:rPr>
              <w:t>High</w:t>
            </w:r>
          </w:p>
        </w:tc>
      </w:tr>
      <w:tr>
        <w:tc>
          <w:tcPr>
            <w:tcW w:type="dxa" w:w="1584"/>
            <w:vAlign w:val="center"/>
          </w:tcPr>
          <w:p>
            <w:pPr>
              <w:spacing w:after="0"/>
            </w:pPr>
            <w:r/>
            <w:r>
              <w:rPr>
                <w:rFonts w:ascii="Aptos" w:hAnsi="Aptos"/>
                <w:b w:val="0"/>
                <w:color w:val="1F2937"/>
                <w:sz w:val="17"/>
              </w:rPr>
              <w:t>Upgrade</w:t>
            </w:r>
          </w:p>
        </w:tc>
        <w:tc>
          <w:tcPr>
            <w:tcW w:type="dxa" w:w="5616"/>
            <w:vAlign w:val="center"/>
          </w:tcPr>
          <w:p>
            <w:pPr>
              <w:spacing w:after="0"/>
            </w:pPr>
            <w:r/>
            <w:r>
              <w:rPr>
                <w:rFonts w:ascii="Aptos" w:hAnsi="Aptos"/>
                <w:b w:val="0"/>
                <w:color w:val="1F2937"/>
                <w:sz w:val="17"/>
              </w:rPr>
              <w:t>Month-2 scheduled overage correction (SCC)</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Upgrade</w:t>
            </w:r>
          </w:p>
        </w:tc>
        <w:tc>
          <w:tcPr>
            <w:tcW w:type="dxa" w:w="5616"/>
            <w:shd w:fill="F4F7FA"/>
            <w:vAlign w:val="center"/>
          </w:tcPr>
          <w:p>
            <w:pPr>
              <w:spacing w:after="0"/>
            </w:pPr>
            <w:r/>
            <w:r>
              <w:rPr>
                <w:rFonts w:ascii="Aptos" w:hAnsi="Aptos"/>
                <w:b w:val="0"/>
                <w:color w:val="1F2937"/>
                <w:sz w:val="17"/>
              </w:rPr>
              <w:t>Per-country/program rule matrix</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BF9000"/>
                <w:sz w:val="17"/>
              </w:rPr>
              <w:t>Medium</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Endpoint (PUT /v3/subscriptions/{id}/update)</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Unified item schema (pricing + quantity)</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C00000"/>
                <w:sz w:val="17"/>
              </w:rPr>
              <w:t>High</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Flexible customer identifier</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ChangeRequestDao concurrency queue</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C00000"/>
                <w:sz w:val="17"/>
              </w:rPr>
              <w:t>High</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IMM/SOT/EOT effective-date logic</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Dedup logic (adjustments-array aware)</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BF9000"/>
                <w:sz w:val="17"/>
              </w:rPr>
              <w:t>Medium</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Gekko-direct integration path</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SCC + webhook integration path</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C00000"/>
                <w:sz w:val="17"/>
              </w:rPr>
              <w:t>High</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Event + webhook confirmation flows</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Per-country/program change-type rule matrix</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BF9000"/>
                <w:sz w:val="17"/>
              </w:rPr>
              <w:t>Medium</w:t>
            </w:r>
          </w:p>
        </w:tc>
      </w:tr>
    </w:tbl>
    <w:p>
      <w:pPr>
        <w:spacing w:after="40"/>
      </w:pPr>
    </w:p>
    <w:p>
      <w:pPr>
        <w:pStyle w:val="Heading1"/>
      </w:pPr>
      <w:r>
        <w:t>6. Recommended Implementation Sequence</w:t>
      </w:r>
    </w:p>
    <w:p>
      <w:pPr>
        <w:pStyle w:val="ListNumber"/>
        <w:spacing w:after="60"/>
      </w:pPr>
      <w:r>
        <w:t>Complete the V3 UPGRADE parity items with High priority: lowest-overage pricing, old-subscription cleanup, and month-2 SCC correction.</w:t>
      </w:r>
    </w:p>
    <w:p>
      <w:pPr>
        <w:pStyle w:val="ListNumber"/>
        <w:spacing w:after="60"/>
      </w:pPr>
      <w:r>
        <w:t>Define the V3 plan-change contract: unified item model, customer identifier model, supported policies, and businessContext rule matrix.</w:t>
      </w:r>
    </w:p>
    <w:p>
      <w:pPr>
        <w:pStyle w:val="ListNumber"/>
        <w:spacing w:after="60"/>
      </w:pPr>
      <w:r>
        <w:t>Implement the V3 endpoint and ChangeRequestDao-backed concurrency state machine.</w:t>
      </w:r>
    </w:p>
    <w:p>
      <w:pPr>
        <w:pStyle w:val="ListNumber"/>
        <w:spacing w:after="60"/>
      </w:pPr>
      <w:r>
        <w:t>Implement effective-date and duplicate-detection behavior.</w:t>
      </w:r>
    </w:p>
    <w:p>
      <w:pPr>
        <w:pStyle w:val="ListNumber"/>
        <w:spacing w:after="60"/>
      </w:pPr>
      <w:r>
        <w:t>Implement Gekko pricing/plan-swap integration and event confirmation.</w:t>
      </w:r>
    </w:p>
    <w:p>
      <w:pPr>
        <w:pStyle w:val="ListNumber"/>
        <w:spacing w:after="60"/>
      </w:pPr>
      <w:r>
        <w:t>Implement SCC quantity integration and webhook confirmation.</w:t>
      </w:r>
    </w:p>
    <w:p>
      <w:pPr>
        <w:pStyle w:val="ListNumber"/>
        <w:spacing w:after="60"/>
      </w:pPr>
      <w:r>
        <w:t>Add country/program rule-matrix coverage and integration tests for each supported businessContext/country combination.</w:t>
      </w:r>
    </w:p>
    <w:p>
      <w:pPr>
        <w:pStyle w:val="Heading1"/>
      </w:pPr>
      <w:r>
        <w:t>7. Grooming / JIRA Readiness</w:t>
      </w:r>
    </w:p>
    <w:p>
      <w:r>
        <w:t>The identified gaps can be decomposed directly into JIRA stories. A practical story structure is to separate contract/API work, core service logic, downstream integrations, asynchronous confirmation, and country/program validation. Each story should include unit tests plus integration coverage for the applicable businessContext and country combinations.</w:t>
      </w:r>
    </w:p>
    <w:p/>
    <w:p>
      <w:pPr>
        <w:pStyle w:val="CaptionSmall"/>
      </w:pPr>
      <w:r>
        <w:rPr>
          <w:b/>
        </w:rPr>
        <w:t xml:space="preserve">Source: </w:t>
      </w:r>
      <w:r>
        <w:t>planchangeupgrade.md, repository anjalitssl/sms, main branch. Content reformatted and structured for presentation; technical meaning preserved.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Internal Technical Analysis  |  V1 → V3 Parity Assessment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SMS Platform • UPGRADE &amp; PLAN CHANGE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