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Credit Risk — Factors + Investment RAG (Updated)</w:t>
      </w:r>
    </w:p>
    <w:p>
      <w:r>
        <w:t>Simple factors + investment rules via RAG. JSON output unchanged.</w:t>
      </w:r>
    </w:p>
    <w:p>
      <w:pPr>
        <w:pStyle w:val="Heading1"/>
      </w:pPr>
      <w:r>
        <w:t>Prompt (Updated)</w:t>
      </w:r>
    </w:p>
    <w:p>
      <w:r>
        <w:t>Return JSON only:</w:t>
        <w:br/>
        <w:t>{"factors":[{"factor":"&lt;key&gt;","evaluation":"Low|Medium|High"}],"summary":"&lt;include investment_risk&gt;","final_evaluation":"Low|Medium|High"}</w:t>
        <w:br/>
        <w:t>Apply red-flags: dscr&lt;1.0 OR interest_coverage&lt;1.5 OR current_ratio&lt;0.8 OR sanctions_exposure_code==2 OR payment_incidents_12m&gt;=3 → final_evaluation="High".</w:t>
      </w:r>
    </w:p>
    <w:p>
      <w:pPr>
        <w:pStyle w:val="Heading1"/>
      </w:pPr>
      <w:r>
        <w:t>Investment Rules Appendix</w:t>
      </w:r>
    </w:p>
    <w:p>
      <w:r>
        <w:t>• Concentration: High if any single ≥40% OR top-3 ≥70%; Medium 25–40% or 50–70%; else Low.</w:t>
      </w:r>
    </w:p>
    <w:p>
      <w:r>
        <w:t>• Liquidity mix: High if Illiquid+Monthly ≥60%; Medium 30–60%; Low &lt;30%.</w:t>
      </w:r>
    </w:p>
    <w:p>
      <w:r>
        <w:t>• Pledged/Related-party: High if any pledged OR related ≥20%; Medium if any but &lt;20%; Low if none.</w:t>
      </w:r>
    </w:p>
    <w:p>
      <w:r>
        <w:t>• Ratings: High if sub-IG (BB/B) ≥40% MV; Medium 15–40%; Low &lt;15%.</w:t>
      </w:r>
    </w:p>
    <w:p>
      <w:r>
        <w:t>• Performance 12m: High ≤−15%; Medium −15% to −5%; Low &gt;−5%.</w:t>
      </w:r>
    </w:p>
    <w:p>
      <w:r>
        <w:t>• Sector/Country clustering: High if ≥70%; Medium 50–70%; Low otherwise.</w:t>
      </w:r>
    </w:p>
    <w:p>
      <w:r>
        <w:t>• Combine to investment_risk: any High→High; else if ≥2 Medium→Medium; else 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