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xx53zkeqnotc" w:id="0"/>
      <w:bookmarkEnd w:id="0"/>
      <w:hyperlink w:anchor="_bunpy6t7t22v">
        <w:r w:rsidDel="00000000" w:rsidR="00000000" w:rsidRPr="00000000">
          <w:rPr>
            <w:color w:val="1155cc"/>
            <w:u w:val="single"/>
            <w:rtl w:val="0"/>
          </w:rPr>
          <w:t xml:space="preserve">What are the Best Practices for Reducing Cost?</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76" w:lineRule="auto"/>
        <w:contextualSpacing w:val="0"/>
        <w:jc w:val="both"/>
        <w:rPr>
          <w:rFonts w:ascii="Times New Roman" w:cs="Times New Roman" w:eastAsia="Times New Roman" w:hAnsi="Times New Roman"/>
        </w:rPr>
      </w:pPr>
      <w:bookmarkStart w:colFirst="0" w:colLast="0" w:name="_3prsrwxakvzm" w:id="1"/>
      <w:bookmarkEnd w:id="1"/>
      <w:r w:rsidDel="00000000" w:rsidR="00000000" w:rsidRPr="00000000">
        <w:rPr>
          <w:rFonts w:ascii="Times New Roman" w:cs="Times New Roman" w:eastAsia="Times New Roman" w:hAnsi="Times New Roman"/>
          <w:color w:val="212121"/>
          <w:sz w:val="48"/>
          <w:szCs w:val="48"/>
          <w:rtl w:val="0"/>
        </w:rPr>
        <w:t xml:space="preserve">BigQuery Best Practices: Controlling Costs</w:t>
      </w:r>
      <w:r w:rsidDel="00000000" w:rsidR="00000000" w:rsidRPr="00000000">
        <w:rPr>
          <w:rtl w:val="0"/>
        </w:rPr>
      </w:r>
    </w:p>
    <w:p w:rsidR="00000000" w:rsidDel="00000000" w:rsidP="00000000" w:rsidRDefault="00000000" w:rsidRPr="00000000" w14:paraId="00000005">
      <w:pPr>
        <w:pStyle w:val="Heading2"/>
        <w:contextualSpacing w:val="0"/>
        <w:rPr>
          <w:u w:val="single"/>
        </w:rPr>
      </w:pPr>
      <w:bookmarkStart w:colFirst="0" w:colLast="0" w:name="_n6l21h3fwid0" w:id="2"/>
      <w:bookmarkEnd w:id="2"/>
      <w:r w:rsidDel="00000000" w:rsidR="00000000" w:rsidRPr="00000000">
        <w:rPr>
          <w:u w:val="single"/>
          <w:rtl w:val="0"/>
        </w:rPr>
        <w:t xml:space="preserve">1. Avoid SELECT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Query only the columns that you need.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Using </w:t>
      </w:r>
      <w:r w:rsidDel="00000000" w:rsidR="00000000" w:rsidRPr="00000000">
        <w:rPr>
          <w:rFonts w:ascii="Times New Roman" w:cs="Times New Roman" w:eastAsia="Times New Roman" w:hAnsi="Times New Roman"/>
          <w:color w:val="37474f"/>
          <w:sz w:val="28"/>
          <w:szCs w:val="28"/>
          <w:shd w:fill="f7f7f7" w:val="clear"/>
          <w:rtl w:val="0"/>
        </w:rPr>
        <w:t xml:space="preserve">SELECT *</w:t>
      </w:r>
      <w:r w:rsidDel="00000000" w:rsidR="00000000" w:rsidRPr="00000000">
        <w:rPr>
          <w:rFonts w:ascii="Times New Roman" w:cs="Times New Roman" w:eastAsia="Times New Roman" w:hAnsi="Times New Roman"/>
          <w:color w:val="212121"/>
          <w:sz w:val="28"/>
          <w:szCs w:val="28"/>
          <w:rtl w:val="0"/>
        </w:rPr>
        <w:t xml:space="preserve"> is the most expensive way to query data. When you use </w:t>
      </w:r>
      <w:r w:rsidDel="00000000" w:rsidR="00000000" w:rsidRPr="00000000">
        <w:rPr>
          <w:rFonts w:ascii="Times New Roman" w:cs="Times New Roman" w:eastAsia="Times New Roman" w:hAnsi="Times New Roman"/>
          <w:color w:val="37474f"/>
          <w:sz w:val="28"/>
          <w:szCs w:val="28"/>
          <w:shd w:fill="f7f7f7" w:val="clear"/>
          <w:rtl w:val="0"/>
        </w:rPr>
        <w:t xml:space="preserve">SELECT *</w:t>
      </w:r>
      <w:r w:rsidDel="00000000" w:rsidR="00000000" w:rsidRPr="00000000">
        <w:rPr>
          <w:rFonts w:ascii="Times New Roman" w:cs="Times New Roman" w:eastAsia="Times New Roman" w:hAnsi="Times New Roman"/>
          <w:color w:val="212121"/>
          <w:sz w:val="28"/>
          <w:szCs w:val="28"/>
          <w:rtl w:val="0"/>
        </w:rPr>
        <w:t xml:space="preserve">, BigQuery does a full scan of every column in the 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If you are experimenting with data or exploring data, use one of the</w:t>
      </w:r>
      <w:r w:rsidDel="00000000" w:rsidR="00000000" w:rsidRPr="00000000">
        <w:rPr>
          <w:rFonts w:ascii="Times New Roman" w:cs="Times New Roman" w:eastAsia="Times New Roman" w:hAnsi="Times New Roman"/>
          <w:color w:val="212121"/>
          <w:sz w:val="28"/>
          <w:szCs w:val="28"/>
          <w:rtl w:val="0"/>
        </w:rPr>
        <w:t xml:space="preserve"> </w:t>
      </w:r>
      <w:hyperlink r:id="rId6">
        <w:r w:rsidDel="00000000" w:rsidR="00000000" w:rsidRPr="00000000">
          <w:rPr>
            <w:rFonts w:ascii="Times New Roman" w:cs="Times New Roman" w:eastAsia="Times New Roman" w:hAnsi="Times New Roman"/>
            <w:color w:val="039be5"/>
            <w:sz w:val="28"/>
            <w:szCs w:val="28"/>
            <w:rtl w:val="0"/>
          </w:rPr>
          <w:t xml:space="preserve">data preview options</w:t>
        </w:r>
      </w:hyperlink>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color w:val="212121"/>
          <w:sz w:val="28"/>
          <w:szCs w:val="28"/>
          <w:rtl w:val="0"/>
        </w:rPr>
        <w:t xml:space="preserve">instead of </w:t>
      </w:r>
      <w:r w:rsidDel="00000000" w:rsidR="00000000" w:rsidRPr="00000000">
        <w:rPr>
          <w:rFonts w:ascii="Times New Roman" w:cs="Times New Roman" w:eastAsia="Times New Roman" w:hAnsi="Times New Roman"/>
          <w:color w:val="37474f"/>
          <w:sz w:val="28"/>
          <w:szCs w:val="28"/>
          <w:shd w:fill="f7f7f7" w:val="clear"/>
          <w:rtl w:val="0"/>
        </w:rPr>
        <w:t xml:space="preserve">SELECT *</w:t>
      </w:r>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Applying a </w:t>
      </w:r>
      <w:r w:rsidDel="00000000" w:rsidR="00000000" w:rsidRPr="00000000">
        <w:rPr>
          <w:rFonts w:ascii="Times New Roman" w:cs="Times New Roman" w:eastAsia="Times New Roman" w:hAnsi="Times New Roman"/>
          <w:color w:val="37474f"/>
          <w:sz w:val="28"/>
          <w:szCs w:val="28"/>
          <w:shd w:fill="f7f7f7" w:val="clear"/>
          <w:rtl w:val="0"/>
        </w:rPr>
        <w:t xml:space="preserve">LIMIT</w:t>
      </w:r>
      <w:r w:rsidDel="00000000" w:rsidR="00000000" w:rsidRPr="00000000">
        <w:rPr>
          <w:rFonts w:ascii="Times New Roman" w:cs="Times New Roman" w:eastAsia="Times New Roman" w:hAnsi="Times New Roman"/>
          <w:color w:val="212121"/>
          <w:sz w:val="28"/>
          <w:szCs w:val="28"/>
          <w:rtl w:val="0"/>
        </w:rPr>
        <w:t xml:space="preserve"> clause to a </w:t>
      </w:r>
      <w:r w:rsidDel="00000000" w:rsidR="00000000" w:rsidRPr="00000000">
        <w:rPr>
          <w:rFonts w:ascii="Times New Roman" w:cs="Times New Roman" w:eastAsia="Times New Roman" w:hAnsi="Times New Roman"/>
          <w:color w:val="37474f"/>
          <w:sz w:val="28"/>
          <w:szCs w:val="28"/>
          <w:shd w:fill="f7f7f7" w:val="clear"/>
          <w:rtl w:val="0"/>
        </w:rPr>
        <w:t xml:space="preserve">SELECT *</w:t>
      </w:r>
      <w:r w:rsidDel="00000000" w:rsidR="00000000" w:rsidRPr="00000000">
        <w:rPr>
          <w:rFonts w:ascii="Times New Roman" w:cs="Times New Roman" w:eastAsia="Times New Roman" w:hAnsi="Times New Roman"/>
          <w:color w:val="212121"/>
          <w:sz w:val="28"/>
          <w:szCs w:val="28"/>
          <w:rtl w:val="0"/>
        </w:rPr>
        <w:t xml:space="preserve"> query does not affect the amount of data read. You are billed for reading all bytes in the entire table, and the query counts against your free tier quota.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Instead, query only the columns you need. For example, use </w:t>
      </w:r>
      <w:r w:rsidDel="00000000" w:rsidR="00000000" w:rsidRPr="00000000">
        <w:rPr>
          <w:rFonts w:ascii="Times New Roman" w:cs="Times New Roman" w:eastAsia="Times New Roman" w:hAnsi="Times New Roman"/>
          <w:color w:val="37474f"/>
          <w:sz w:val="28"/>
          <w:szCs w:val="28"/>
          <w:shd w:fill="f7f7f7" w:val="clear"/>
          <w:rtl w:val="0"/>
        </w:rPr>
        <w:t xml:space="preserve">SELECT * EXCEPT</w:t>
      </w:r>
      <w:r w:rsidDel="00000000" w:rsidR="00000000" w:rsidRPr="00000000">
        <w:rPr>
          <w:rFonts w:ascii="Times New Roman" w:cs="Times New Roman" w:eastAsia="Times New Roman" w:hAnsi="Times New Roman"/>
          <w:color w:val="212121"/>
          <w:sz w:val="28"/>
          <w:szCs w:val="28"/>
          <w:rtl w:val="0"/>
        </w:rPr>
        <w:t xml:space="preserve"> to exclude one or more columns from the results.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If you do require queries against every column in a table, but only against a subset of data, consider:</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120"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Materializing results in a destination table and querying that table instead</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hyperlink r:id="rId7">
        <w:r w:rsidDel="00000000" w:rsidR="00000000" w:rsidRPr="00000000">
          <w:rPr>
            <w:rFonts w:ascii="Times New Roman" w:cs="Times New Roman" w:eastAsia="Times New Roman" w:hAnsi="Times New Roman"/>
            <w:color w:val="039be5"/>
            <w:sz w:val="28"/>
            <w:szCs w:val="28"/>
            <w:u w:val="single"/>
            <w:rtl w:val="0"/>
          </w:rPr>
          <w:t xml:space="preserve">Partitioning your tables by date</w:t>
        </w:r>
      </w:hyperlink>
      <w:r w:rsidDel="00000000" w:rsidR="00000000" w:rsidRPr="00000000">
        <w:rPr>
          <w:rFonts w:ascii="Times New Roman" w:cs="Times New Roman" w:eastAsia="Times New Roman" w:hAnsi="Times New Roman"/>
          <w:color w:val="212121"/>
          <w:sz w:val="28"/>
          <w:szCs w:val="28"/>
          <w:rtl w:val="0"/>
        </w:rPr>
        <w:t xml:space="preserve"> and querying the relevant partition; for example, </w:t>
      </w:r>
      <w:r w:rsidDel="00000000" w:rsidR="00000000" w:rsidRPr="00000000">
        <w:rPr>
          <w:rFonts w:ascii="Times New Roman" w:cs="Times New Roman" w:eastAsia="Times New Roman" w:hAnsi="Times New Roman"/>
          <w:color w:val="37474f"/>
          <w:sz w:val="28"/>
          <w:szCs w:val="28"/>
          <w:shd w:fill="f7f7f7" w:val="clear"/>
          <w:rtl w:val="0"/>
        </w:rPr>
        <w:t xml:space="preserve">WHERE _PARTITIONDATE="2017-01-01"</w:t>
      </w:r>
      <w:r w:rsidDel="00000000" w:rsidR="00000000" w:rsidRPr="00000000">
        <w:rPr>
          <w:rFonts w:ascii="Times New Roman" w:cs="Times New Roman" w:eastAsia="Times New Roman" w:hAnsi="Times New Roman"/>
          <w:color w:val="212121"/>
          <w:sz w:val="28"/>
          <w:szCs w:val="28"/>
          <w:rtl w:val="0"/>
        </w:rPr>
        <w:t xml:space="preserve"> only scans the January 1, 2017 partition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276" w:lineRule="auto"/>
        <w:ind w:left="72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76" w:lineRule="auto"/>
        <w:contextualSpacing w:val="0"/>
        <w:jc w:val="both"/>
        <w:rPr>
          <w:rFonts w:ascii="Times New Roman" w:cs="Times New Roman" w:eastAsia="Times New Roman" w:hAnsi="Times New Roman"/>
          <w:color w:val="212121"/>
          <w:sz w:val="33"/>
          <w:szCs w:val="33"/>
          <w:u w:val="single"/>
        </w:rPr>
      </w:pPr>
      <w:bookmarkStart w:colFirst="0" w:colLast="0" w:name="_g3itqfc4fhfh" w:id="3"/>
      <w:bookmarkEnd w:id="3"/>
      <w:r w:rsidDel="00000000" w:rsidR="00000000" w:rsidRPr="00000000">
        <w:rPr>
          <w:rFonts w:ascii="Times New Roman" w:cs="Times New Roman" w:eastAsia="Times New Roman" w:hAnsi="Times New Roman"/>
          <w:color w:val="212121"/>
          <w:sz w:val="33"/>
          <w:szCs w:val="33"/>
          <w:u w:val="single"/>
          <w:rtl w:val="0"/>
        </w:rPr>
        <w:t xml:space="preserve">2. Sample data using preview options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Don't run queries to explore or preview table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If you are experimenting with or exploring your data, you can use table preview options to view data for free and without affecting quotas.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BigQuery supports the following data preview options: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r w:rsidDel="00000000" w:rsidR="00000000" w:rsidRPr="00000000">
        <w:rPr>
          <w:rFonts w:ascii="Times New Roman" w:cs="Times New Roman" w:eastAsia="Times New Roman" w:hAnsi="Times New Roman"/>
          <w:color w:val="212121"/>
          <w:sz w:val="28"/>
          <w:szCs w:val="28"/>
          <w:rtl w:val="0"/>
        </w:rPr>
        <w:t xml:space="preserve">In the web UI, on the </w:t>
      </w:r>
      <w:r w:rsidDel="00000000" w:rsidR="00000000" w:rsidRPr="00000000">
        <w:rPr>
          <w:rFonts w:ascii="Times New Roman" w:cs="Times New Roman" w:eastAsia="Times New Roman" w:hAnsi="Times New Roman"/>
          <w:b w:val="1"/>
          <w:color w:val="212121"/>
          <w:sz w:val="28"/>
          <w:szCs w:val="28"/>
          <w:rtl w:val="0"/>
        </w:rPr>
        <w:t xml:space="preserve">Table Details</w:t>
      </w:r>
      <w:r w:rsidDel="00000000" w:rsidR="00000000" w:rsidRPr="00000000">
        <w:rPr>
          <w:rFonts w:ascii="Times New Roman" w:cs="Times New Roman" w:eastAsia="Times New Roman" w:hAnsi="Times New Roman"/>
          <w:color w:val="212121"/>
          <w:sz w:val="28"/>
          <w:szCs w:val="28"/>
          <w:rtl w:val="0"/>
        </w:rPr>
        <w:t xml:space="preserve"> page, click </w:t>
      </w:r>
      <w:r w:rsidDel="00000000" w:rsidR="00000000" w:rsidRPr="00000000">
        <w:rPr>
          <w:rFonts w:ascii="Times New Roman" w:cs="Times New Roman" w:eastAsia="Times New Roman" w:hAnsi="Times New Roman"/>
          <w:b w:val="1"/>
          <w:color w:val="212121"/>
          <w:sz w:val="28"/>
          <w:szCs w:val="28"/>
          <w:rtl w:val="0"/>
        </w:rPr>
        <w:t xml:space="preserve">Preview</w:t>
      </w:r>
      <w:r w:rsidDel="00000000" w:rsidR="00000000" w:rsidRPr="00000000">
        <w:rPr>
          <w:rFonts w:ascii="Times New Roman" w:cs="Times New Roman" w:eastAsia="Times New Roman" w:hAnsi="Times New Roman"/>
          <w:color w:val="212121"/>
          <w:sz w:val="28"/>
          <w:szCs w:val="28"/>
          <w:rtl w:val="0"/>
        </w:rPr>
        <w:t xml:space="preserve"> to sample the data.</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r w:rsidDel="00000000" w:rsidR="00000000" w:rsidRPr="00000000">
        <w:rPr>
          <w:rFonts w:ascii="Times New Roman" w:cs="Times New Roman" w:eastAsia="Times New Roman" w:hAnsi="Times New Roman"/>
          <w:color w:val="212121"/>
          <w:sz w:val="28"/>
          <w:szCs w:val="28"/>
          <w:rtl w:val="0"/>
        </w:rPr>
        <w:t xml:space="preserve">In the CLI, use the </w:t>
      </w:r>
      <w:hyperlink r:id="rId8">
        <w:r w:rsidDel="00000000" w:rsidR="00000000" w:rsidRPr="00000000">
          <w:rPr>
            <w:rFonts w:ascii="Times New Roman" w:cs="Times New Roman" w:eastAsia="Times New Roman" w:hAnsi="Times New Roman"/>
            <w:color w:val="039be5"/>
            <w:sz w:val="28"/>
            <w:szCs w:val="28"/>
            <w:u w:val="single"/>
            <w:shd w:fill="f7f7f7" w:val="clear"/>
            <w:rtl w:val="0"/>
          </w:rPr>
          <w:t xml:space="preserve">bq head</w:t>
        </w:r>
      </w:hyperlink>
      <w:r w:rsidDel="00000000" w:rsidR="00000000" w:rsidRPr="00000000">
        <w:rPr>
          <w:rFonts w:ascii="Times New Roman" w:cs="Times New Roman" w:eastAsia="Times New Roman" w:hAnsi="Times New Roman"/>
          <w:color w:val="212121"/>
          <w:sz w:val="28"/>
          <w:szCs w:val="28"/>
          <w:rtl w:val="0"/>
        </w:rPr>
        <w:t xml:space="preserve"> command and specify the number of rows to preview.</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r w:rsidDel="00000000" w:rsidR="00000000" w:rsidRPr="00000000">
        <w:rPr>
          <w:rFonts w:ascii="Times New Roman" w:cs="Times New Roman" w:eastAsia="Times New Roman" w:hAnsi="Times New Roman"/>
          <w:color w:val="212121"/>
          <w:sz w:val="28"/>
          <w:szCs w:val="28"/>
          <w:rtl w:val="0"/>
        </w:rPr>
        <w:t xml:space="preserve">In the API, use </w:t>
      </w:r>
      <w:hyperlink r:id="rId9">
        <w:r w:rsidDel="00000000" w:rsidR="00000000" w:rsidRPr="00000000">
          <w:rPr>
            <w:rFonts w:ascii="Times New Roman" w:cs="Times New Roman" w:eastAsia="Times New Roman" w:hAnsi="Times New Roman"/>
            <w:color w:val="039be5"/>
            <w:sz w:val="28"/>
            <w:szCs w:val="28"/>
            <w:u w:val="single"/>
            <w:shd w:fill="f7f7f7" w:val="clear"/>
            <w:rtl w:val="0"/>
          </w:rPr>
          <w:t xml:space="preserve">tabledata.list</w:t>
        </w:r>
      </w:hyperlink>
      <w:r w:rsidDel="00000000" w:rsidR="00000000" w:rsidRPr="00000000">
        <w:rPr>
          <w:rFonts w:ascii="Times New Roman" w:cs="Times New Roman" w:eastAsia="Times New Roman" w:hAnsi="Times New Roman"/>
          <w:color w:val="212121"/>
          <w:sz w:val="28"/>
          <w:szCs w:val="28"/>
          <w:rtl w:val="0"/>
        </w:rPr>
        <w:t xml:space="preserve"> to retrieve table data from a specified set of rows.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276" w:lineRule="auto"/>
        <w:contextualSpacing w:val="0"/>
        <w:jc w:val="both"/>
        <w:rPr>
          <w:rFonts w:ascii="Times New Roman" w:cs="Times New Roman" w:eastAsia="Times New Roman" w:hAnsi="Times New Roman"/>
          <w:color w:val="212121"/>
          <w:sz w:val="33"/>
          <w:szCs w:val="33"/>
          <w:u w:val="single"/>
        </w:rPr>
      </w:pPr>
      <w:bookmarkStart w:colFirst="0" w:colLast="0" w:name="_tqd9xg7dv45r" w:id="4"/>
      <w:bookmarkEnd w:id="4"/>
      <w:r w:rsidDel="00000000" w:rsidR="00000000" w:rsidRPr="00000000">
        <w:rPr>
          <w:rFonts w:ascii="Times New Roman" w:cs="Times New Roman" w:eastAsia="Times New Roman" w:hAnsi="Times New Roman"/>
          <w:color w:val="212121"/>
          <w:sz w:val="33"/>
          <w:szCs w:val="33"/>
          <w:u w:val="single"/>
          <w:rtl w:val="0"/>
        </w:rPr>
        <w:t xml:space="preserve">3. Price your queries before running them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Best practice:</w:t>
      </w:r>
      <w:r w:rsidDel="00000000" w:rsidR="00000000" w:rsidRPr="00000000">
        <w:rPr>
          <w:rFonts w:ascii="Times New Roman" w:cs="Times New Roman" w:eastAsia="Times New Roman" w:hAnsi="Times New Roman"/>
          <w:color w:val="212121"/>
          <w:sz w:val="28"/>
          <w:szCs w:val="28"/>
          <w:rtl w:val="0"/>
        </w:rPr>
        <w:t xml:space="preserve"> Before running queries, preview them to estimate costs.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Queries are billed according to the number of bytes read. To estimate costs before running a query use: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120"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The query validator in the web UI</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r w:rsidDel="00000000" w:rsidR="00000000" w:rsidRPr="00000000">
        <w:rPr>
          <w:rFonts w:ascii="Times New Roman" w:cs="Times New Roman" w:eastAsia="Times New Roman" w:hAnsi="Times New Roman"/>
          <w:color w:val="212121"/>
          <w:sz w:val="28"/>
          <w:szCs w:val="28"/>
          <w:rtl w:val="0"/>
        </w:rPr>
        <w:t xml:space="preserve">The </w:t>
      </w:r>
      <w:r w:rsidDel="00000000" w:rsidR="00000000" w:rsidRPr="00000000">
        <w:rPr>
          <w:rFonts w:ascii="Times New Roman" w:cs="Times New Roman" w:eastAsia="Times New Roman" w:hAnsi="Times New Roman"/>
          <w:color w:val="37474f"/>
          <w:sz w:val="28"/>
          <w:szCs w:val="28"/>
          <w:shd w:fill="f7f7f7" w:val="clear"/>
          <w:rtl w:val="0"/>
        </w:rPr>
        <w:t xml:space="preserve">--dry_run</w:t>
      </w:r>
      <w:r w:rsidDel="00000000" w:rsidR="00000000" w:rsidRPr="00000000">
        <w:rPr>
          <w:rFonts w:ascii="Times New Roman" w:cs="Times New Roman" w:eastAsia="Times New Roman" w:hAnsi="Times New Roman"/>
          <w:color w:val="212121"/>
          <w:sz w:val="28"/>
          <w:szCs w:val="28"/>
          <w:rtl w:val="0"/>
        </w:rPr>
        <w:t xml:space="preserve"> flag in the CLI</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120" w:before="120" w:line="276" w:lineRule="auto"/>
        <w:ind w:left="720" w:hanging="360"/>
        <w:jc w:val="both"/>
        <w:rPr>
          <w:sz w:val="28"/>
          <w:szCs w:val="28"/>
        </w:rPr>
      </w:pPr>
      <w:r w:rsidDel="00000000" w:rsidR="00000000" w:rsidRPr="00000000">
        <w:rPr>
          <w:rFonts w:ascii="Times New Roman" w:cs="Times New Roman" w:eastAsia="Times New Roman" w:hAnsi="Times New Roman"/>
          <w:color w:val="212121"/>
          <w:sz w:val="28"/>
          <w:szCs w:val="28"/>
          <w:rtl w:val="0"/>
        </w:rPr>
        <w:t xml:space="preserve">The </w:t>
      </w:r>
      <w:r w:rsidDel="00000000" w:rsidR="00000000" w:rsidRPr="00000000">
        <w:rPr>
          <w:rFonts w:ascii="Times New Roman" w:cs="Times New Roman" w:eastAsia="Times New Roman" w:hAnsi="Times New Roman"/>
          <w:color w:val="37474f"/>
          <w:sz w:val="28"/>
          <w:szCs w:val="28"/>
          <w:shd w:fill="f7f7f7" w:val="clear"/>
          <w:rtl w:val="0"/>
        </w:rPr>
        <w:t xml:space="preserve">dry Run</w:t>
      </w:r>
      <w:r w:rsidDel="00000000" w:rsidR="00000000" w:rsidRPr="00000000">
        <w:rPr>
          <w:rFonts w:ascii="Times New Roman" w:cs="Times New Roman" w:eastAsia="Times New Roman" w:hAnsi="Times New Roman"/>
          <w:color w:val="212121"/>
          <w:sz w:val="28"/>
          <w:szCs w:val="28"/>
          <w:rtl w:val="0"/>
        </w:rPr>
        <w:t xml:space="preserve"> parameter when submitting a query job using the API</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120"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The </w:t>
      </w:r>
      <w:r w:rsidDel="00000000" w:rsidR="00000000" w:rsidRPr="00000000">
        <w:fldChar w:fldCharType="begin"/>
        <w:instrText xml:space="preserve"> HYPERLINK "https://cloud.google.com/products/calculator/" </w:instrText>
        <w:fldChar w:fldCharType="separate"/>
      </w:r>
      <w:r w:rsidDel="00000000" w:rsidR="00000000" w:rsidRPr="00000000">
        <w:rPr>
          <w:rFonts w:ascii="Times New Roman" w:cs="Times New Roman" w:eastAsia="Times New Roman" w:hAnsi="Times New Roman"/>
          <w:color w:val="039be5"/>
          <w:sz w:val="28"/>
          <w:szCs w:val="28"/>
          <w:u w:val="single"/>
          <w:rtl w:val="0"/>
        </w:rPr>
        <w:t xml:space="preserve">Google Cloud Platform Pricing Calculator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01E">
      <w:pPr>
        <w:pStyle w:val="Heading2"/>
        <w:pBdr>
          <w:top w:color="auto" w:space="0" w:sz="0" w:val="none"/>
          <w:bottom w:color="auto" w:space="0" w:sz="0" w:val="none"/>
          <w:right w:color="auto" w:space="0" w:sz="0" w:val="none"/>
          <w:between w:color="auto" w:space="0" w:sz="0" w:val="none"/>
        </w:pBdr>
        <w:contextualSpacing w:val="0"/>
        <w:jc w:val="both"/>
        <w:rPr>
          <w:color w:val="212121"/>
          <w:sz w:val="33"/>
          <w:szCs w:val="33"/>
          <w:u w:val="single"/>
        </w:rPr>
      </w:pPr>
      <w:bookmarkStart w:colFirst="0" w:colLast="0" w:name="_epjkwb3jddd0" w:id="5"/>
      <w:bookmarkEnd w:id="5"/>
      <w:r w:rsidDel="00000000" w:rsidR="00000000" w:rsidRPr="00000000">
        <w:rPr>
          <w:sz w:val="36"/>
          <w:szCs w:val="36"/>
          <w:u w:val="single"/>
          <w:rtl w:val="0"/>
        </w:rPr>
        <w:t xml:space="preserve">4.</w:t>
      </w:r>
      <w:r w:rsidDel="00000000" w:rsidR="00000000" w:rsidRPr="00000000">
        <w:rPr>
          <w:color w:val="212121"/>
          <w:sz w:val="33"/>
          <w:szCs w:val="33"/>
          <w:u w:val="single"/>
          <w:rtl w:val="0"/>
        </w:rPr>
        <w:t xml:space="preserve">Limit query costs by restricting the number of bytes billed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Best practice:</w:t>
      </w:r>
      <w:r w:rsidDel="00000000" w:rsidR="00000000" w:rsidRPr="00000000">
        <w:rPr>
          <w:rFonts w:ascii="Times New Roman" w:cs="Times New Roman" w:eastAsia="Times New Roman" w:hAnsi="Times New Roman"/>
          <w:color w:val="212121"/>
          <w:sz w:val="24"/>
          <w:szCs w:val="24"/>
          <w:rtl w:val="0"/>
        </w:rPr>
        <w:t xml:space="preserve"> Use the maximum bytes billed setting to limit query costs.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You can limit the number of bytes billed for a query using the maximum bytes billed setting. When you set maximum bytes billed, if the query will read bytes beyond the limit, the query fails without incurring a charge.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a query fails because of the maximum bytes billed setting, an error like the following is returned: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37474f"/>
          <w:shd w:fill="f7f7f7" w:val="clear"/>
        </w:rPr>
      </w:pPr>
      <w:r w:rsidDel="00000000" w:rsidR="00000000" w:rsidRPr="00000000">
        <w:rPr>
          <w:rFonts w:ascii="Times New Roman" w:cs="Times New Roman" w:eastAsia="Times New Roman" w:hAnsi="Times New Roman"/>
          <w:color w:val="37474f"/>
          <w:shd w:fill="f7f7f7" w:val="clear"/>
          <w:rtl w:val="0"/>
        </w:rPr>
        <w:t xml:space="preserve">Error: Query exceeded limit for bytes billed: 1000000. 10485760 or higher required.</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37474f"/>
          <w:shd w:fill="f7f7f7" w:val="clear"/>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37474f"/>
          <w:shd w:fill="f7f7f7" w:val="clea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37474f"/>
          <w:u w:val="single"/>
          <w:shd w:fill="f7f7f7" w:val="clear"/>
        </w:rPr>
      </w:pPr>
      <w:r w:rsidDel="00000000" w:rsidR="00000000" w:rsidRPr="00000000">
        <w:rPr>
          <w:rtl w:val="0"/>
        </w:rPr>
      </w:r>
    </w:p>
    <w:p w:rsidR="00000000" w:rsidDel="00000000" w:rsidP="00000000" w:rsidRDefault="00000000" w:rsidRPr="00000000" w14:paraId="00000026">
      <w:pPr>
        <w:pStyle w:val="Heading2"/>
        <w:pBdr>
          <w:top w:color="auto" w:space="0" w:sz="0" w:val="none"/>
          <w:bottom w:color="auto" w:space="0" w:sz="0" w:val="none"/>
          <w:right w:color="auto" w:space="0" w:sz="0" w:val="none"/>
          <w:between w:color="auto" w:space="0" w:sz="0" w:val="none"/>
        </w:pBdr>
        <w:contextualSpacing w:val="0"/>
        <w:jc w:val="both"/>
        <w:rPr>
          <w:color w:val="212121"/>
          <w:sz w:val="33"/>
          <w:szCs w:val="33"/>
          <w:u w:val="single"/>
        </w:rPr>
      </w:pPr>
      <w:bookmarkStart w:colFirst="0" w:colLast="0" w:name="_2suejoy2nyyp" w:id="6"/>
      <w:bookmarkEnd w:id="6"/>
      <w:r w:rsidDel="00000000" w:rsidR="00000000" w:rsidRPr="00000000">
        <w:rPr>
          <w:color w:val="37474f"/>
          <w:sz w:val="36"/>
          <w:szCs w:val="36"/>
          <w:u w:val="single"/>
          <w:rtl w:val="0"/>
        </w:rPr>
        <w:t xml:space="preserve">5.</w:t>
      </w:r>
      <w:r w:rsidDel="00000000" w:rsidR="00000000" w:rsidRPr="00000000">
        <w:rPr>
          <w:color w:val="212121"/>
          <w:sz w:val="33"/>
          <w:szCs w:val="33"/>
          <w:u w:val="single"/>
          <w:rtl w:val="0"/>
        </w:rPr>
        <w:t xml:space="preserve">LIMIT doesn’t affect cost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33"/>
          <w:szCs w:val="33"/>
          <w:shd w:fill="f7f7f7"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b w:val="1"/>
          <w:color w:val="212121"/>
          <w:sz w:val="28"/>
          <w:szCs w:val="28"/>
          <w:shd w:fill="f7f7f7" w:val="clear"/>
          <w:rtl w:val="0"/>
        </w:rPr>
        <w:t xml:space="preserve">Best practice:</w:t>
      </w:r>
      <w:r w:rsidDel="00000000" w:rsidR="00000000" w:rsidRPr="00000000">
        <w:rPr>
          <w:rFonts w:ascii="Times New Roman" w:cs="Times New Roman" w:eastAsia="Times New Roman" w:hAnsi="Times New Roman"/>
          <w:color w:val="212121"/>
          <w:sz w:val="28"/>
          <w:szCs w:val="28"/>
          <w:shd w:fill="f7f7f7" w:val="clear"/>
          <w:rtl w:val="0"/>
        </w:rPr>
        <w:t xml:space="preserve"> Do not use a </w:t>
      </w:r>
      <w:r w:rsidDel="00000000" w:rsidR="00000000" w:rsidRPr="00000000">
        <w:rPr>
          <w:rFonts w:ascii="Times New Roman" w:cs="Times New Roman" w:eastAsia="Times New Roman" w:hAnsi="Times New Roman"/>
          <w:color w:val="37474f"/>
          <w:sz w:val="28"/>
          <w:szCs w:val="28"/>
          <w:shd w:fill="f7f7f7" w:val="clear"/>
          <w:rtl w:val="0"/>
        </w:rPr>
        <w:t xml:space="preserve">LIMIT</w:t>
      </w:r>
      <w:r w:rsidDel="00000000" w:rsidR="00000000" w:rsidRPr="00000000">
        <w:rPr>
          <w:rFonts w:ascii="Times New Roman" w:cs="Times New Roman" w:eastAsia="Times New Roman" w:hAnsi="Times New Roman"/>
          <w:color w:val="212121"/>
          <w:sz w:val="28"/>
          <w:szCs w:val="28"/>
          <w:shd w:fill="f7f7f7" w:val="clear"/>
          <w:rtl w:val="0"/>
        </w:rPr>
        <w:t xml:space="preserve"> clause as a method of cost control.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Applying a </w:t>
      </w:r>
      <w:r w:rsidDel="00000000" w:rsidR="00000000" w:rsidRPr="00000000">
        <w:rPr>
          <w:rFonts w:ascii="Times New Roman" w:cs="Times New Roman" w:eastAsia="Times New Roman" w:hAnsi="Times New Roman"/>
          <w:color w:val="37474f"/>
          <w:sz w:val="28"/>
          <w:szCs w:val="28"/>
          <w:shd w:fill="f7f7f7" w:val="clear"/>
          <w:rtl w:val="0"/>
        </w:rPr>
        <w:t xml:space="preserve">LIMIT</w:t>
      </w:r>
      <w:r w:rsidDel="00000000" w:rsidR="00000000" w:rsidRPr="00000000">
        <w:rPr>
          <w:rFonts w:ascii="Times New Roman" w:cs="Times New Roman" w:eastAsia="Times New Roman" w:hAnsi="Times New Roman"/>
          <w:color w:val="212121"/>
          <w:sz w:val="28"/>
          <w:szCs w:val="28"/>
          <w:shd w:fill="f7f7f7" w:val="clear"/>
          <w:rtl w:val="0"/>
        </w:rPr>
        <w:t xml:space="preserve"> clause to a query does not affect the amount of data that is read. It merely limits the results set output. You are billed for reading all bytes in the entire table as indicated by the query.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The amount of data read by the query counts against your free tier quota despite the presence of a </w:t>
      </w:r>
      <w:r w:rsidDel="00000000" w:rsidR="00000000" w:rsidRPr="00000000">
        <w:rPr>
          <w:rFonts w:ascii="Times New Roman" w:cs="Times New Roman" w:eastAsia="Times New Roman" w:hAnsi="Times New Roman"/>
          <w:color w:val="37474f"/>
          <w:sz w:val="28"/>
          <w:szCs w:val="28"/>
          <w:shd w:fill="f7f7f7" w:val="clear"/>
          <w:rtl w:val="0"/>
        </w:rPr>
        <w:t xml:space="preserve">LIMIT</w:t>
      </w:r>
      <w:r w:rsidDel="00000000" w:rsidR="00000000" w:rsidRPr="00000000">
        <w:rPr>
          <w:rFonts w:ascii="Times New Roman" w:cs="Times New Roman" w:eastAsia="Times New Roman" w:hAnsi="Times New Roman"/>
          <w:color w:val="212121"/>
          <w:sz w:val="28"/>
          <w:szCs w:val="28"/>
          <w:shd w:fill="f7f7f7" w:val="clear"/>
          <w:rtl w:val="0"/>
        </w:rPr>
        <w:t xml:space="preserve"> clause.</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tl w:val="0"/>
        </w:rPr>
      </w:r>
    </w:p>
    <w:p w:rsidR="00000000" w:rsidDel="00000000" w:rsidP="00000000" w:rsidRDefault="00000000" w:rsidRPr="00000000" w14:paraId="0000002C">
      <w:pPr>
        <w:pStyle w:val="Heading2"/>
        <w:pBdr>
          <w:top w:color="auto" w:space="0" w:sz="0" w:val="none"/>
          <w:bottom w:color="auto" w:space="0" w:sz="0" w:val="none"/>
          <w:right w:color="auto" w:space="0" w:sz="0" w:val="none"/>
          <w:between w:color="auto" w:space="0" w:sz="0" w:val="none"/>
        </w:pBdr>
        <w:contextualSpacing w:val="0"/>
        <w:jc w:val="both"/>
        <w:rPr>
          <w:sz w:val="33"/>
          <w:szCs w:val="33"/>
          <w:u w:val="single"/>
        </w:rPr>
      </w:pPr>
      <w:bookmarkStart w:colFirst="0" w:colLast="0" w:name="_d8i9cf4408od" w:id="7"/>
      <w:bookmarkEnd w:id="7"/>
      <w:r w:rsidDel="00000000" w:rsidR="00000000" w:rsidRPr="00000000">
        <w:rPr>
          <w:sz w:val="36"/>
          <w:szCs w:val="36"/>
          <w:u w:val="single"/>
          <w:rtl w:val="0"/>
        </w:rPr>
        <w:t xml:space="preserve">6.</w:t>
      </w:r>
      <w:r w:rsidDel="00000000" w:rsidR="00000000" w:rsidRPr="00000000">
        <w:rPr>
          <w:sz w:val="33"/>
          <w:szCs w:val="33"/>
          <w:u w:val="single"/>
          <w:rtl w:val="0"/>
        </w:rPr>
        <w:t xml:space="preserve">View costs using a dashboard and query your audit logs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33"/>
          <w:szCs w:val="33"/>
          <w:shd w:fill="f7f7f7"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b w:val="1"/>
          <w:color w:val="212121"/>
          <w:sz w:val="28"/>
          <w:szCs w:val="28"/>
          <w:shd w:fill="f7f7f7" w:val="clear"/>
          <w:rtl w:val="0"/>
        </w:rPr>
        <w:t xml:space="preserve">Best practice:</w:t>
      </w:r>
      <w:r w:rsidDel="00000000" w:rsidR="00000000" w:rsidRPr="00000000">
        <w:rPr>
          <w:rFonts w:ascii="Times New Roman" w:cs="Times New Roman" w:eastAsia="Times New Roman" w:hAnsi="Times New Roman"/>
          <w:color w:val="212121"/>
          <w:sz w:val="28"/>
          <w:szCs w:val="28"/>
          <w:shd w:fill="f7f7f7" w:val="clear"/>
          <w:rtl w:val="0"/>
        </w:rPr>
        <w:t xml:space="preserve"> Create a dashboard to view your billing data so you can make adjustments to your BigQuery usage. Also consider streaming your audit logs to BigQuery so you can analyze usage patterns.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You can </w:t>
      </w:r>
      <w:hyperlink r:id="rId10">
        <w:r w:rsidDel="00000000" w:rsidR="00000000" w:rsidRPr="00000000">
          <w:rPr>
            <w:rFonts w:ascii="Times New Roman" w:cs="Times New Roman" w:eastAsia="Times New Roman" w:hAnsi="Times New Roman"/>
            <w:color w:val="039be5"/>
            <w:sz w:val="28"/>
            <w:szCs w:val="28"/>
            <w:u w:val="single"/>
            <w:shd w:fill="f7f7f7" w:val="clear"/>
            <w:rtl w:val="0"/>
          </w:rPr>
          <w:t xml:space="preserve">export your billing data</w:t>
        </w:r>
      </w:hyperlink>
      <w:r w:rsidDel="00000000" w:rsidR="00000000" w:rsidRPr="00000000">
        <w:rPr>
          <w:rFonts w:ascii="Times New Roman" w:cs="Times New Roman" w:eastAsia="Times New Roman" w:hAnsi="Times New Roman"/>
          <w:color w:val="212121"/>
          <w:sz w:val="28"/>
          <w:szCs w:val="28"/>
          <w:shd w:fill="f7f7f7" w:val="clear"/>
          <w:rtl w:val="0"/>
        </w:rPr>
        <w:t xml:space="preserve"> to BigQuery and visualize it in a tool such as Google Data Studio. For a tutorial on creating a billing dasboard, see </w:t>
      </w:r>
      <w:hyperlink r:id="rId11">
        <w:r w:rsidDel="00000000" w:rsidR="00000000" w:rsidRPr="00000000">
          <w:rPr>
            <w:rFonts w:ascii="Times New Roman" w:cs="Times New Roman" w:eastAsia="Times New Roman" w:hAnsi="Times New Roman"/>
            <w:color w:val="039be5"/>
            <w:sz w:val="28"/>
            <w:szCs w:val="28"/>
            <w:u w:val="single"/>
            <w:shd w:fill="f7f7f7" w:val="clear"/>
            <w:rtl w:val="0"/>
          </w:rPr>
          <w:t xml:space="preserve">Visualize GCP Billing using BigQuery and Data Studio</w:t>
        </w:r>
      </w:hyperlink>
      <w:r w:rsidDel="00000000" w:rsidR="00000000" w:rsidRPr="00000000">
        <w:rPr>
          <w:rFonts w:ascii="Times New Roman" w:cs="Times New Roman" w:eastAsia="Times New Roman" w:hAnsi="Times New Roman"/>
          <w:color w:val="212121"/>
          <w:sz w:val="28"/>
          <w:szCs w:val="28"/>
          <w:shd w:fill="f7f7f7"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You can also stream your </w:t>
      </w:r>
      <w:hyperlink r:id="rId12">
        <w:r w:rsidDel="00000000" w:rsidR="00000000" w:rsidRPr="00000000">
          <w:rPr>
            <w:rFonts w:ascii="Times New Roman" w:cs="Times New Roman" w:eastAsia="Times New Roman" w:hAnsi="Times New Roman"/>
            <w:color w:val="039be5"/>
            <w:sz w:val="28"/>
            <w:szCs w:val="28"/>
            <w:u w:val="single"/>
            <w:shd w:fill="f7f7f7" w:val="clear"/>
            <w:rtl w:val="0"/>
          </w:rPr>
          <w:t xml:space="preserve">audit logs</w:t>
        </w:r>
      </w:hyperlink>
      <w:r w:rsidDel="00000000" w:rsidR="00000000" w:rsidRPr="00000000">
        <w:rPr>
          <w:rFonts w:ascii="Times New Roman" w:cs="Times New Roman" w:eastAsia="Times New Roman" w:hAnsi="Times New Roman"/>
          <w:color w:val="212121"/>
          <w:sz w:val="28"/>
          <w:szCs w:val="28"/>
          <w:shd w:fill="f7f7f7" w:val="clear"/>
          <w:rtl w:val="0"/>
        </w:rPr>
        <w:t xml:space="preserve"> to BigQuery and analyze the logs for usage patterns such as query costs by user.</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212121"/>
          <w:sz w:val="24"/>
          <w:szCs w:val="24"/>
          <w:shd w:fill="f7f7f7" w:val="clear"/>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212121"/>
          <w:sz w:val="36"/>
          <w:szCs w:val="36"/>
          <w:shd w:fill="f7f7f7" w:val="clear"/>
        </w:rPr>
      </w:pPr>
      <w:r w:rsidDel="00000000" w:rsidR="00000000" w:rsidRPr="00000000">
        <w:rPr>
          <w:rtl w:val="0"/>
        </w:rPr>
      </w:r>
    </w:p>
    <w:p w:rsidR="00000000" w:rsidDel="00000000" w:rsidP="00000000" w:rsidRDefault="00000000" w:rsidRPr="00000000" w14:paraId="00000033">
      <w:pPr>
        <w:pStyle w:val="Heading2"/>
        <w:pBdr>
          <w:top w:color="auto" w:space="0" w:sz="0" w:val="none"/>
          <w:bottom w:color="auto" w:space="0" w:sz="0" w:val="none"/>
          <w:right w:color="auto" w:space="0" w:sz="0" w:val="none"/>
          <w:between w:color="auto" w:space="0" w:sz="0" w:val="none"/>
        </w:pBdr>
        <w:contextualSpacing w:val="0"/>
        <w:jc w:val="both"/>
        <w:rPr>
          <w:sz w:val="33"/>
          <w:szCs w:val="33"/>
          <w:u w:val="single"/>
        </w:rPr>
      </w:pPr>
      <w:bookmarkStart w:colFirst="0" w:colLast="0" w:name="_62u15ost755g" w:id="8"/>
      <w:bookmarkEnd w:id="8"/>
      <w:r w:rsidDel="00000000" w:rsidR="00000000" w:rsidRPr="00000000">
        <w:rPr>
          <w:sz w:val="36"/>
          <w:szCs w:val="36"/>
          <w:u w:val="single"/>
          <w:rtl w:val="0"/>
        </w:rPr>
        <w:t xml:space="preserve">7.</w:t>
      </w:r>
      <w:r w:rsidDel="00000000" w:rsidR="00000000" w:rsidRPr="00000000">
        <w:rPr>
          <w:sz w:val="33"/>
          <w:szCs w:val="33"/>
          <w:u w:val="single"/>
          <w:rtl w:val="0"/>
        </w:rPr>
        <w:t xml:space="preserve">Partition data by date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33"/>
          <w:szCs w:val="33"/>
          <w:shd w:fill="f7f7f7"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b w:val="1"/>
          <w:color w:val="212121"/>
          <w:sz w:val="24"/>
          <w:szCs w:val="24"/>
          <w:shd w:fill="f7f7f7" w:val="clear"/>
          <w:rtl w:val="0"/>
        </w:rPr>
        <w:t xml:space="preserve">Best practice:</w:t>
      </w:r>
      <w:r w:rsidDel="00000000" w:rsidR="00000000" w:rsidRPr="00000000">
        <w:rPr>
          <w:rFonts w:ascii="Times New Roman" w:cs="Times New Roman" w:eastAsia="Times New Roman" w:hAnsi="Times New Roman"/>
          <w:color w:val="212121"/>
          <w:sz w:val="24"/>
          <w:szCs w:val="24"/>
          <w:shd w:fill="f7f7f7" w:val="clear"/>
          <w:rtl w:val="0"/>
        </w:rPr>
        <w:t xml:space="preserve"> Partition your tables by date.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If possible, </w:t>
      </w:r>
      <w:hyperlink r:id="rId13">
        <w:r w:rsidDel="00000000" w:rsidR="00000000" w:rsidRPr="00000000">
          <w:rPr>
            <w:rFonts w:ascii="Times New Roman" w:cs="Times New Roman" w:eastAsia="Times New Roman" w:hAnsi="Times New Roman"/>
            <w:color w:val="039be5"/>
            <w:sz w:val="28"/>
            <w:szCs w:val="28"/>
            <w:u w:val="single"/>
            <w:shd w:fill="f7f7f7" w:val="clear"/>
            <w:rtl w:val="0"/>
          </w:rPr>
          <w:t xml:space="preserve">partition</w:t>
        </w:r>
      </w:hyperlink>
      <w:r w:rsidDel="00000000" w:rsidR="00000000" w:rsidRPr="00000000">
        <w:rPr>
          <w:rFonts w:ascii="Times New Roman" w:cs="Times New Roman" w:eastAsia="Times New Roman" w:hAnsi="Times New Roman"/>
          <w:color w:val="212121"/>
          <w:sz w:val="28"/>
          <w:szCs w:val="28"/>
          <w:shd w:fill="f7f7f7" w:val="clear"/>
          <w:rtl w:val="0"/>
        </w:rPr>
        <w:t xml:space="preserve"> your BigQuery tables by date. Partitioning your tables allows you to query relevant subsets of data which improves performance and reduces costs.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For example, when you query partitioned tables, use the </w:t>
      </w:r>
      <w:r w:rsidDel="00000000" w:rsidR="00000000" w:rsidRPr="00000000">
        <w:rPr>
          <w:rFonts w:ascii="Times New Roman" w:cs="Times New Roman" w:eastAsia="Times New Roman" w:hAnsi="Times New Roman"/>
          <w:color w:val="37474f"/>
          <w:sz w:val="28"/>
          <w:szCs w:val="28"/>
          <w:shd w:fill="f7f7f7" w:val="clear"/>
          <w:rtl w:val="0"/>
        </w:rPr>
        <w:t xml:space="preserve">_PARTITIONTIME</w:t>
      </w:r>
      <w:r w:rsidDel="00000000" w:rsidR="00000000" w:rsidRPr="00000000">
        <w:rPr>
          <w:rFonts w:ascii="Times New Roman" w:cs="Times New Roman" w:eastAsia="Times New Roman" w:hAnsi="Times New Roman"/>
          <w:color w:val="212121"/>
          <w:sz w:val="28"/>
          <w:szCs w:val="28"/>
          <w:shd w:fill="f7f7f7" w:val="clear"/>
          <w:rtl w:val="0"/>
        </w:rPr>
        <w:t xml:space="preserve"> pseudo column to filter for a date or a range of dates. The query processes data only in the partitions that are specified by the date or range.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tl w:val="0"/>
        </w:rPr>
      </w:r>
    </w:p>
    <w:p w:rsidR="00000000" w:rsidDel="00000000" w:rsidP="00000000" w:rsidRDefault="00000000" w:rsidRPr="00000000" w14:paraId="00000039">
      <w:pPr>
        <w:pStyle w:val="Heading2"/>
        <w:pBdr>
          <w:top w:color="auto" w:space="0" w:sz="0" w:val="none"/>
          <w:bottom w:color="auto" w:space="0" w:sz="0" w:val="none"/>
          <w:right w:color="auto" w:space="0" w:sz="0" w:val="none"/>
          <w:between w:color="auto" w:space="0" w:sz="0" w:val="none"/>
        </w:pBdr>
        <w:contextualSpacing w:val="0"/>
        <w:jc w:val="both"/>
        <w:rPr>
          <w:sz w:val="33"/>
          <w:szCs w:val="33"/>
          <w:u w:val="single"/>
        </w:rPr>
      </w:pPr>
      <w:bookmarkStart w:colFirst="0" w:colLast="0" w:name="_o4y6ueq0vifu" w:id="9"/>
      <w:bookmarkEnd w:id="9"/>
      <w:r w:rsidDel="00000000" w:rsidR="00000000" w:rsidRPr="00000000">
        <w:rPr>
          <w:sz w:val="36"/>
          <w:szCs w:val="36"/>
          <w:u w:val="single"/>
          <w:rtl w:val="0"/>
        </w:rPr>
        <w:t xml:space="preserve">8</w:t>
      </w:r>
      <w:r w:rsidDel="00000000" w:rsidR="00000000" w:rsidRPr="00000000">
        <w:rPr>
          <w:sz w:val="28"/>
          <w:szCs w:val="28"/>
          <w:u w:val="single"/>
          <w:rtl w:val="0"/>
        </w:rPr>
        <w:t xml:space="preserve">.</w:t>
      </w:r>
      <w:r w:rsidDel="00000000" w:rsidR="00000000" w:rsidRPr="00000000">
        <w:rPr>
          <w:sz w:val="33"/>
          <w:szCs w:val="33"/>
          <w:u w:val="single"/>
          <w:rtl w:val="0"/>
        </w:rPr>
        <w:t xml:space="preserve">Materialize query results in stages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b w:val="1"/>
          <w:color w:val="212121"/>
          <w:sz w:val="24"/>
          <w:szCs w:val="24"/>
          <w:shd w:fill="f7f7f7" w:val="clea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b w:val="1"/>
          <w:color w:val="212121"/>
          <w:sz w:val="24"/>
          <w:szCs w:val="24"/>
          <w:shd w:fill="f7f7f7" w:val="clear"/>
          <w:rtl w:val="0"/>
        </w:rPr>
        <w:t xml:space="preserve">Best practice:</w:t>
      </w:r>
      <w:r w:rsidDel="00000000" w:rsidR="00000000" w:rsidRPr="00000000">
        <w:rPr>
          <w:rFonts w:ascii="Times New Roman" w:cs="Times New Roman" w:eastAsia="Times New Roman" w:hAnsi="Times New Roman"/>
          <w:color w:val="212121"/>
          <w:sz w:val="24"/>
          <w:szCs w:val="24"/>
          <w:shd w:fill="f7f7f7" w:val="clear"/>
          <w:rtl w:val="0"/>
        </w:rPr>
        <w:t xml:space="preserve"> If possible, materialize your query results in stages.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If you create a large, multi-stage query, each time you run it, BigQuery reads all the data that is required by the query. You are billed for all the data that is read each time the query is run.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Instead, break your query into stages where each stage materializes the query results by writing them to a </w:t>
      </w:r>
      <w:hyperlink r:id="rId14">
        <w:r w:rsidDel="00000000" w:rsidR="00000000" w:rsidRPr="00000000">
          <w:rPr>
            <w:rFonts w:ascii="Times New Roman" w:cs="Times New Roman" w:eastAsia="Times New Roman" w:hAnsi="Times New Roman"/>
            <w:color w:val="039be5"/>
            <w:sz w:val="28"/>
            <w:szCs w:val="28"/>
            <w:u w:val="single"/>
            <w:shd w:fill="f7f7f7" w:val="clear"/>
            <w:rtl w:val="0"/>
          </w:rPr>
          <w:t xml:space="preserve">destination table</w:t>
        </w:r>
      </w:hyperlink>
      <w:r w:rsidDel="00000000" w:rsidR="00000000" w:rsidRPr="00000000">
        <w:rPr>
          <w:rFonts w:ascii="Times New Roman" w:cs="Times New Roman" w:eastAsia="Times New Roman" w:hAnsi="Times New Roman"/>
          <w:color w:val="212121"/>
          <w:sz w:val="28"/>
          <w:szCs w:val="28"/>
          <w:shd w:fill="f7f7f7" w:val="clear"/>
          <w:rtl w:val="0"/>
        </w:rPr>
        <w:t xml:space="preserve">. Querying the smaller destination table reduces the amount of data that is read and lowers costs. The cost of storing the materialized results is much less than the cost of processing large amounts of data.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tl w:val="0"/>
        </w:rPr>
      </w:r>
    </w:p>
    <w:p w:rsidR="00000000" w:rsidDel="00000000" w:rsidP="00000000" w:rsidRDefault="00000000" w:rsidRPr="00000000" w14:paraId="0000003F">
      <w:pPr>
        <w:pStyle w:val="Heading2"/>
        <w:pBdr>
          <w:top w:color="auto" w:space="0" w:sz="0" w:val="none"/>
          <w:bottom w:color="auto" w:space="0" w:sz="0" w:val="none"/>
          <w:right w:color="auto" w:space="0" w:sz="0" w:val="none"/>
          <w:between w:color="auto" w:space="0" w:sz="0" w:val="none"/>
        </w:pBdr>
        <w:contextualSpacing w:val="0"/>
        <w:jc w:val="both"/>
        <w:rPr>
          <w:sz w:val="33"/>
          <w:szCs w:val="33"/>
          <w:u w:val="single"/>
        </w:rPr>
      </w:pPr>
      <w:bookmarkStart w:colFirst="0" w:colLast="0" w:name="_htgxsod37mua" w:id="10"/>
      <w:bookmarkEnd w:id="10"/>
      <w:r w:rsidDel="00000000" w:rsidR="00000000" w:rsidRPr="00000000">
        <w:rPr>
          <w:sz w:val="36"/>
          <w:szCs w:val="36"/>
          <w:u w:val="single"/>
          <w:rtl w:val="0"/>
        </w:rPr>
        <w:t xml:space="preserve">9.</w:t>
      </w:r>
      <w:r w:rsidDel="00000000" w:rsidR="00000000" w:rsidRPr="00000000">
        <w:rPr>
          <w:sz w:val="33"/>
          <w:szCs w:val="33"/>
          <w:u w:val="single"/>
          <w:rtl w:val="0"/>
        </w:rPr>
        <w:t xml:space="preserve">Consider the cost of large result sets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b w:val="1"/>
          <w:color w:val="212121"/>
          <w:sz w:val="28"/>
          <w:szCs w:val="28"/>
          <w:shd w:fill="f7f7f7" w:val="clear"/>
          <w:rtl w:val="0"/>
        </w:rPr>
        <w:t xml:space="preserve">Best practice:</w:t>
      </w:r>
      <w:r w:rsidDel="00000000" w:rsidR="00000000" w:rsidRPr="00000000">
        <w:rPr>
          <w:rFonts w:ascii="Times New Roman" w:cs="Times New Roman" w:eastAsia="Times New Roman" w:hAnsi="Times New Roman"/>
          <w:color w:val="212121"/>
          <w:sz w:val="28"/>
          <w:szCs w:val="28"/>
          <w:shd w:fill="f7f7f7" w:val="clear"/>
          <w:rtl w:val="0"/>
        </w:rPr>
        <w:t xml:space="preserve"> If you are writing large query results to a destination table, use the default table expiration time to remove the data when it's no longer needed.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Keeping large result sets in BigQuery storage has a cost. If you don't need permanent access to the results, use the </w:t>
      </w:r>
      <w:hyperlink r:id="rId15">
        <w:r w:rsidDel="00000000" w:rsidR="00000000" w:rsidRPr="00000000">
          <w:rPr>
            <w:rFonts w:ascii="Times New Roman" w:cs="Times New Roman" w:eastAsia="Times New Roman" w:hAnsi="Times New Roman"/>
            <w:color w:val="039be5"/>
            <w:sz w:val="28"/>
            <w:szCs w:val="28"/>
            <w:u w:val="single"/>
            <w:shd w:fill="f7f7f7" w:val="clear"/>
            <w:rtl w:val="0"/>
          </w:rPr>
          <w:t xml:space="preserve">default table expiration</w:t>
        </w:r>
      </w:hyperlink>
      <w:r w:rsidDel="00000000" w:rsidR="00000000" w:rsidRPr="00000000">
        <w:rPr>
          <w:rFonts w:ascii="Times New Roman" w:cs="Times New Roman" w:eastAsia="Times New Roman" w:hAnsi="Times New Roman"/>
          <w:color w:val="212121"/>
          <w:sz w:val="28"/>
          <w:szCs w:val="28"/>
          <w:shd w:fill="f7f7f7" w:val="clear"/>
          <w:rtl w:val="0"/>
        </w:rPr>
        <w:t xml:space="preserve"> to automatically delete the data for you.</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For more information, see </w:t>
      </w:r>
      <w:hyperlink r:id="rId16">
        <w:r w:rsidDel="00000000" w:rsidR="00000000" w:rsidRPr="00000000">
          <w:rPr>
            <w:rFonts w:ascii="Times New Roman" w:cs="Times New Roman" w:eastAsia="Times New Roman" w:hAnsi="Times New Roman"/>
            <w:color w:val="039be5"/>
            <w:sz w:val="28"/>
            <w:szCs w:val="28"/>
            <w:u w:val="single"/>
            <w:shd w:fill="f7f7f7" w:val="clear"/>
            <w:rtl w:val="0"/>
          </w:rPr>
          <w:t xml:space="preserve">storage pricing</w:t>
        </w:r>
      </w:hyperlink>
      <w:r w:rsidDel="00000000" w:rsidR="00000000" w:rsidRPr="00000000">
        <w:rPr>
          <w:rFonts w:ascii="Times New Roman" w:cs="Times New Roman" w:eastAsia="Times New Roman" w:hAnsi="Times New Roman"/>
          <w:color w:val="212121"/>
          <w:sz w:val="28"/>
          <w:szCs w:val="28"/>
          <w:shd w:fill="f7f7f7" w:val="clear"/>
          <w:rtl w:val="0"/>
        </w:rPr>
        <w:t xml:space="preserve">.</w:t>
      </w:r>
      <w:r w:rsidDel="00000000" w:rsidR="00000000" w:rsidRPr="00000000">
        <w:rPr>
          <w:rtl w:val="0"/>
        </w:rPr>
      </w:r>
    </w:p>
    <w:p w:rsidR="00000000" w:rsidDel="00000000" w:rsidP="00000000" w:rsidRDefault="00000000" w:rsidRPr="00000000" w14:paraId="00000043">
      <w:pPr>
        <w:pStyle w:val="Heading2"/>
        <w:contextualSpacing w:val="0"/>
        <w:rPr>
          <w:u w:val="single"/>
        </w:rPr>
      </w:pPr>
      <w:bookmarkStart w:colFirst="0" w:colLast="0" w:name="_wr4rue3jod02" w:id="11"/>
      <w:bookmarkEnd w:id="11"/>
      <w:r w:rsidDel="00000000" w:rsidR="00000000" w:rsidRPr="00000000">
        <w:rPr>
          <w:u w:val="single"/>
          <w:rtl w:val="0"/>
        </w:rPr>
        <w:t xml:space="preserve">10. Use streaming inserts with caution</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33"/>
          <w:szCs w:val="33"/>
          <w:shd w:fill="f7f7f7"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b w:val="1"/>
          <w:color w:val="212121"/>
          <w:sz w:val="28"/>
          <w:szCs w:val="28"/>
          <w:shd w:fill="f7f7f7" w:val="clear"/>
          <w:rtl w:val="0"/>
        </w:rPr>
        <w:t xml:space="preserve">Best practice:</w:t>
      </w:r>
      <w:r w:rsidDel="00000000" w:rsidR="00000000" w:rsidRPr="00000000">
        <w:rPr>
          <w:rFonts w:ascii="Times New Roman" w:cs="Times New Roman" w:eastAsia="Times New Roman" w:hAnsi="Times New Roman"/>
          <w:color w:val="212121"/>
          <w:sz w:val="28"/>
          <w:szCs w:val="28"/>
          <w:shd w:fill="f7f7f7" w:val="clear"/>
          <w:rtl w:val="0"/>
        </w:rPr>
        <w:t xml:space="preserve"> Use streaming inserts only if your data must be immediately available.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76" w:lineRule="auto"/>
        <w:contextualSpacing w:val="0"/>
        <w:jc w:val="both"/>
        <w:rPr>
          <w:rFonts w:ascii="Times New Roman" w:cs="Times New Roman" w:eastAsia="Times New Roman" w:hAnsi="Times New Roman"/>
          <w:color w:val="212121"/>
          <w:sz w:val="28"/>
          <w:szCs w:val="28"/>
          <w:shd w:fill="f7f7f7" w:val="clear"/>
        </w:rPr>
      </w:pPr>
      <w:r w:rsidDel="00000000" w:rsidR="00000000" w:rsidRPr="00000000">
        <w:rPr>
          <w:rFonts w:ascii="Times New Roman" w:cs="Times New Roman" w:eastAsia="Times New Roman" w:hAnsi="Times New Roman"/>
          <w:color w:val="212121"/>
          <w:sz w:val="28"/>
          <w:szCs w:val="28"/>
          <w:shd w:fill="f7f7f7" w:val="clear"/>
          <w:rtl w:val="0"/>
        </w:rPr>
        <w:t xml:space="preserve">There is no charge for </w:t>
      </w:r>
      <w:hyperlink r:id="rId17">
        <w:r w:rsidDel="00000000" w:rsidR="00000000" w:rsidRPr="00000000">
          <w:rPr>
            <w:rFonts w:ascii="Times New Roman" w:cs="Times New Roman" w:eastAsia="Times New Roman" w:hAnsi="Times New Roman"/>
            <w:color w:val="039be5"/>
            <w:sz w:val="28"/>
            <w:szCs w:val="28"/>
            <w:u w:val="single"/>
            <w:shd w:fill="f7f7f7" w:val="clear"/>
            <w:rtl w:val="0"/>
          </w:rPr>
          <w:t xml:space="preserve">loading data</w:t>
        </w:r>
      </w:hyperlink>
      <w:r w:rsidDel="00000000" w:rsidR="00000000" w:rsidRPr="00000000">
        <w:rPr>
          <w:rFonts w:ascii="Times New Roman" w:cs="Times New Roman" w:eastAsia="Times New Roman" w:hAnsi="Times New Roman"/>
          <w:color w:val="212121"/>
          <w:sz w:val="28"/>
          <w:szCs w:val="28"/>
          <w:shd w:fill="f7f7f7" w:val="clear"/>
          <w:rtl w:val="0"/>
        </w:rPr>
        <w:t xml:space="preserve"> into BigQuery. There is a charge, however, for </w:t>
      </w:r>
      <w:hyperlink r:id="rId18">
        <w:r w:rsidDel="00000000" w:rsidR="00000000" w:rsidRPr="00000000">
          <w:rPr>
            <w:rFonts w:ascii="Times New Roman" w:cs="Times New Roman" w:eastAsia="Times New Roman" w:hAnsi="Times New Roman"/>
            <w:color w:val="039be5"/>
            <w:sz w:val="28"/>
            <w:szCs w:val="28"/>
            <w:u w:val="single"/>
            <w:shd w:fill="f7f7f7" w:val="clear"/>
            <w:rtl w:val="0"/>
          </w:rPr>
          <w:t xml:space="preserve">streaming data</w:t>
        </w:r>
      </w:hyperlink>
      <w:r w:rsidDel="00000000" w:rsidR="00000000" w:rsidRPr="00000000">
        <w:rPr>
          <w:rFonts w:ascii="Times New Roman" w:cs="Times New Roman" w:eastAsia="Times New Roman" w:hAnsi="Times New Roman"/>
          <w:color w:val="212121"/>
          <w:sz w:val="28"/>
          <w:szCs w:val="28"/>
          <w:shd w:fill="f7f7f7" w:val="clear"/>
          <w:rtl w:val="0"/>
        </w:rPr>
        <w:t xml:space="preserve"> into BigQuery. Unless your data must be immediately available, load your data rather than streaming it.</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36"/>
          <w:szCs w:val="36"/>
          <w:u w:val="single"/>
          <w:shd w:fill="f7f7f7" w:val="clear"/>
        </w:rPr>
      </w:pPr>
      <w:r w:rsidDel="00000000" w:rsidR="00000000" w:rsidRPr="00000000">
        <w:rPr>
          <w:rtl w:val="0"/>
        </w:rPr>
      </w:r>
    </w:p>
    <w:p w:rsidR="00000000" w:rsidDel="00000000" w:rsidP="00000000" w:rsidRDefault="00000000" w:rsidRPr="00000000" w14:paraId="00000048">
      <w:pPr>
        <w:pStyle w:val="Heading1"/>
        <w:pBdr>
          <w:top w:color="auto" w:space="0" w:sz="0" w:val="none"/>
          <w:bottom w:color="auto" w:space="0" w:sz="0" w:val="none"/>
          <w:right w:color="auto" w:space="0" w:sz="0" w:val="none"/>
          <w:between w:color="auto" w:space="0" w:sz="0" w:val="none"/>
        </w:pBdr>
        <w:contextualSpacing w:val="0"/>
        <w:jc w:val="both"/>
        <w:rPr/>
      </w:pPr>
      <w:bookmarkStart w:colFirst="0" w:colLast="0" w:name="_8lky4h78gmi" w:id="12"/>
      <w:bookmarkEnd w:id="12"/>
      <w:r w:rsidDel="00000000" w:rsidR="00000000" w:rsidRPr="00000000">
        <w:rPr>
          <w:rtl w:val="0"/>
        </w:rPr>
        <w:t xml:space="preserve">Link for cost controlling best practices for bigquery)</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276" w:lineRule="auto"/>
        <w:contextualSpacing w:val="0"/>
        <w:jc w:val="both"/>
        <w:rPr>
          <w:rFonts w:ascii="Times New Roman" w:cs="Times New Roman" w:eastAsia="Times New Roman" w:hAnsi="Times New Roman"/>
          <w:color w:val="212121"/>
          <w:sz w:val="24"/>
          <w:szCs w:val="24"/>
          <w:u w:val="single"/>
          <w:shd w:fill="f7f7f7" w:val="clear"/>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212121"/>
          <w:sz w:val="36"/>
          <w:szCs w:val="36"/>
          <w:shd w:fill="f7f7f7" w:val="clear"/>
        </w:rPr>
      </w:pPr>
      <w:r w:rsidDel="00000000" w:rsidR="00000000" w:rsidRPr="00000000">
        <w:rPr>
          <w:rFonts w:ascii="Times New Roman" w:cs="Times New Roman" w:eastAsia="Times New Roman" w:hAnsi="Times New Roman"/>
          <w:color w:val="212121"/>
          <w:sz w:val="36"/>
          <w:szCs w:val="36"/>
          <w:shd w:fill="f7f7f7" w:val="clear"/>
          <w:rtl w:val="0"/>
        </w:rPr>
        <w:t xml:space="preserve">(https://cloud.google.com/bigquery/docs/best-practices-costs) </w:t>
      </w:r>
      <w:r w:rsidDel="00000000" w:rsidR="00000000" w:rsidRPr="00000000">
        <w:fldChar w:fldCharType="begin"/>
        <w:instrText xml:space="preserve"> HYPERLINK "https://cloud.google.com/products/calculator/" </w:instrText>
        <w:fldChar w:fldCharType="separate"/>
      </w: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line="276" w:lineRule="auto"/>
        <w:ind w:left="0" w:firstLine="0"/>
        <w:contextualSpacing w:val="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jc w:val="both"/>
        <w:rPr>
          <w:rFonts w:ascii="Times New Roman" w:cs="Times New Roman" w:eastAsia="Times New Roman" w:hAnsi="Times New Roman"/>
          <w:color w:val="6aa84f"/>
          <w:sz w:val="48"/>
          <w:szCs w:val="48"/>
        </w:rPr>
      </w:pPr>
      <w:r w:rsidDel="00000000" w:rsidR="00000000" w:rsidRPr="00000000">
        <w:rPr>
          <w:rtl w:val="0"/>
        </w:rPr>
      </w:r>
    </w:p>
    <w:p w:rsidR="00000000" w:rsidDel="00000000" w:rsidP="00000000" w:rsidRDefault="00000000" w:rsidRPr="00000000" w14:paraId="0000004E">
      <w:pPr>
        <w:spacing w:line="276" w:lineRule="auto"/>
        <w:contextualSpacing w:val="0"/>
        <w:jc w:val="both"/>
        <w:rPr>
          <w:rFonts w:ascii="Times New Roman" w:cs="Times New Roman" w:eastAsia="Times New Roman" w:hAnsi="Times New Roman"/>
          <w:color w:val="6aa84f"/>
          <w:sz w:val="48"/>
          <w:szCs w:val="48"/>
        </w:rPr>
      </w:pP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color w:val="212121"/>
          <w:sz w:val="48"/>
          <w:szCs w:val="48"/>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4">
      <w:pPr>
        <w:contextualSpacing w:val="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color w:val="212121"/>
          <w:sz w:val="33"/>
          <w:szCs w:val="33"/>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jc w:val="both"/>
        <w:rPr>
          <w:rFonts w:ascii="Roboto" w:cs="Roboto" w:eastAsia="Roboto" w:hAnsi="Roboto"/>
          <w:color w:val="212121"/>
          <w:sz w:val="24"/>
          <w:szCs w:val="24"/>
          <w:u w:val="singl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contextualSpacing w:val="0"/>
        <w:jc w:val="both"/>
        <w:rPr>
          <w:rFonts w:ascii="Times New Roman" w:cs="Times New Roman" w:eastAsia="Times New Roman" w:hAnsi="Times New Roman"/>
          <w:color w:val="212121"/>
          <w:sz w:val="28"/>
          <w:szCs w:val="28"/>
          <w:u w:val="single"/>
        </w:rPr>
      </w:pPr>
      <w:r w:rsidDel="00000000" w:rsidR="00000000" w:rsidRPr="00000000">
        <w:rPr>
          <w:rtl w:val="0"/>
        </w:rPr>
      </w:r>
    </w:p>
    <w:p w:rsidR="00000000" w:rsidDel="00000000" w:rsidP="00000000" w:rsidRDefault="00000000" w:rsidRPr="00000000" w14:paraId="0000005A">
      <w:pPr>
        <w:spacing w:line="276" w:lineRule="auto"/>
        <w:contextualSpacing w:val="0"/>
        <w:jc w:val="both"/>
        <w:rPr>
          <w:rFonts w:ascii="Times New Roman" w:cs="Times New Roman" w:eastAsia="Times New Roman" w:hAnsi="Times New Roman"/>
          <w:color w:val="212121"/>
          <w:sz w:val="36"/>
          <w:szCs w:val="36"/>
          <w:u w:val="single"/>
        </w:rPr>
      </w:pPr>
      <w:r w:rsidDel="00000000" w:rsidR="00000000" w:rsidRPr="00000000">
        <w:rPr>
          <w:rtl w:val="0"/>
        </w:rPr>
      </w:r>
    </w:p>
    <w:p w:rsidR="00000000" w:rsidDel="00000000" w:rsidP="00000000" w:rsidRDefault="00000000" w:rsidRPr="00000000" w14:paraId="0000005B">
      <w:pPr>
        <w:contextualSpacing w:val="0"/>
        <w:jc w:val="both"/>
        <w:rPr>
          <w:color w:val="212121"/>
          <w:sz w:val="48"/>
          <w:szCs w:val="48"/>
          <w:u w:val="single"/>
        </w:rPr>
      </w:pPr>
      <w:r w:rsidDel="00000000" w:rsidR="00000000" w:rsidRPr="00000000">
        <w:rPr>
          <w:rtl w:val="0"/>
        </w:rPr>
      </w:r>
    </w:p>
    <w:p w:rsidR="00000000" w:rsidDel="00000000" w:rsidP="00000000" w:rsidRDefault="00000000" w:rsidRPr="00000000" w14:paraId="0000005C">
      <w:pPr>
        <w:spacing w:line="276" w:lineRule="auto"/>
        <w:contextualSpacing w:val="0"/>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5D">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76" w:lineRule="auto"/>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google-cloud/visualize-gcp-billing-using-bigquery-and-data-studio-d3e695f90c08" TargetMode="External"/><Relationship Id="rId10" Type="http://schemas.openxmlformats.org/officeDocument/2006/relationships/hyperlink" Target="https://support.google.com/cloud/answer/7233314?hl=en" TargetMode="External"/><Relationship Id="rId13" Type="http://schemas.openxmlformats.org/officeDocument/2006/relationships/hyperlink" Target="https://cloud.google.com/bigquery/docs/creating-partitioned-tables" TargetMode="External"/><Relationship Id="rId12" Type="http://schemas.openxmlformats.org/officeDocument/2006/relationships/hyperlink" Target="https://cloud.google.com/bigquery/audit-lo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bigquery/docs/reference/rest/v2/tabledata/list" TargetMode="External"/><Relationship Id="rId15" Type="http://schemas.openxmlformats.org/officeDocument/2006/relationships/hyperlink" Target="https://cloud.google.com/bigquery/docs/managing-datasets#table-expiration" TargetMode="External"/><Relationship Id="rId14" Type="http://schemas.openxmlformats.org/officeDocument/2006/relationships/hyperlink" Target="https://cloud.google.com/bigquery/querying-data#permanent-table" TargetMode="External"/><Relationship Id="rId17" Type="http://schemas.openxmlformats.org/officeDocument/2006/relationships/hyperlink" Target="https://cloud.google.com/bigquery/docs/loading-data" TargetMode="External"/><Relationship Id="rId16" Type="http://schemas.openxmlformats.org/officeDocument/2006/relationships/hyperlink" Target="https://cloud.google.com/bigquery/pricing#storage" TargetMode="External"/><Relationship Id="rId5" Type="http://schemas.openxmlformats.org/officeDocument/2006/relationships/styles" Target="styles.xml"/><Relationship Id="rId6" Type="http://schemas.openxmlformats.org/officeDocument/2006/relationships/hyperlink" Target="https://cloud.google.com/bigquery/docs/best-practices-costs#preview-data" TargetMode="External"/><Relationship Id="rId18" Type="http://schemas.openxmlformats.org/officeDocument/2006/relationships/hyperlink" Target="https://cloud.google.com/bigquery/streaming-data-into-bigquery" TargetMode="External"/><Relationship Id="rId7" Type="http://schemas.openxmlformats.org/officeDocument/2006/relationships/hyperlink" Target="https://cloud.google.com/bigquery/docs/creating-partitioned-tables" TargetMode="External"/><Relationship Id="rId8" Type="http://schemas.openxmlformats.org/officeDocument/2006/relationships/hyperlink" Target="https://cloud.google.com/bigquery/docs/managing-table-data#brows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