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6iirjk8a7yp" w:id="0"/>
      <w:bookmarkEnd w:id="0"/>
      <w:r w:rsidDel="00000000" w:rsidR="00000000" w:rsidRPr="00000000">
        <w:rPr>
          <w:rtl w:val="0"/>
        </w:rPr>
        <w:t xml:space="preserve">JARVIS &amp; ContextQA-Style Autonomous Testing Platform Specification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gym84edesw" w:id="1"/>
      <w:bookmarkEnd w:id="1"/>
      <w:r w:rsidDel="00000000" w:rsidR="00000000" w:rsidRPr="00000000">
        <w:rPr>
          <w:rtl w:val="0"/>
        </w:rPr>
        <w:t xml:space="preserve">1. Executive Vision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platform fuses the voice/text HUD conversational command capabilities of JARVIS with the autonomous testing intelligence of ContextQA. It provides a no-code/low-code interface where 18-year QA testing domain knowledge directs autonomous agents to generate, execute, self-heal, analyze, and report enterprise web, mobile, and API tests without manual script maintenance.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thtq6lewc0i" w:id="2"/>
      <w:bookmarkEnd w:id="2"/>
      <w:r w:rsidDel="00000000" w:rsidR="00000000" w:rsidRPr="00000000">
        <w:rPr>
          <w:rtl w:val="0"/>
        </w:rPr>
        <w:t xml:space="preserve">2. Core Architectural Pillars (JARVIS + ContextQA Fusion)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d944nxzh0g9n" w:id="3"/>
      <w:bookmarkEnd w:id="3"/>
      <w:r w:rsidDel="00000000" w:rsidR="00000000" w:rsidRPr="00000000">
        <w:rPr>
          <w:rtl w:val="0"/>
        </w:rPr>
        <w:t xml:space="preserve">Pillar 1: NLP &amp; Requirement-to-Test Generator (SmartBuild)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Accepts plain English instructions, Jira user stories, Figma wireframes, or manual Excel test cases.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Autonomous Coder-Agent parses business requirements and converts them into production-grade Playwright TypeScript suites (Given-When-Then, Page Objects, Component Helpers).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Covers happy paths, negative validation, boundary values, and edge cases automatically.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kzl0bx5f2efs" w:id="4"/>
      <w:bookmarkEnd w:id="4"/>
      <w:r w:rsidDel="00000000" w:rsidR="00000000" w:rsidRPr="00000000">
        <w:rPr>
          <w:rtl w:val="0"/>
        </w:rPr>
        <w:t xml:space="preserve">Pillar 2: Context-Aware Self-Healing Engine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Combines visual snapshots, accessibility trees (ARIA), and DOM hierarchy into an application Context Graph.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an application UI changes or element IDs mutate, Healer-Agent calculates the closest semantic alternative using the context graph.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Dry-runs the fix, applies the patch, updates the Page Object, and indexes the solution into the Second Brain.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iqghjxadizxm" w:id="5"/>
      <w:bookmarkEnd w:id="5"/>
      <w:r w:rsidDel="00000000" w:rsidR="00000000" w:rsidRPr="00000000">
        <w:rPr>
          <w:rtl w:val="0"/>
        </w:rPr>
        <w:t xml:space="preserve">Pillar 3: Automated Root Cause Analysis (AI-RCA)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Instantly categorizes test failures into four distinct buckets: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Product Code Defect (Real application bug -&gt; documented in documents/bugs.md).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Test Script / Locator Shift (Repaired by Self-Healing).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Environment / Infrastructure Outage (Logged in telemetry).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Transient Network Flakiness (Quarantined with @flaky tag).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zgypnca4bids" w:id="6"/>
      <w:bookmarkEnd w:id="6"/>
      <w:r w:rsidDel="00000000" w:rsidR="00000000" w:rsidRPr="00000000">
        <w:rPr>
          <w:rtl w:val="0"/>
        </w:rPr>
        <w:t xml:space="preserve">Pillar 4: Intelligent Test Impact Selection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Analyzes git diffs, changed files, and affected routes on every pull request.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Intelligently triggers only the affected subset of tests rather than running the entire regression suite, cutting execution time by up to 50%.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6broknq4921t" w:id="7"/>
      <w:bookmarkEnd w:id="7"/>
      <w:r w:rsidDel="00000000" w:rsidR="00000000" w:rsidRPr="00000000">
        <w:rPr>
          <w:rtl w:val="0"/>
        </w:rPr>
        <w:t xml:space="preserve">Pillar 5: Multi-System Coverage Matrix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 Automation: Chrome, Firefox, Safari, Edge via Playwright.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Automation: REST and GraphQL response validation linked directly with UI data state.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 Regression: Pixel-level and layout diff comparisons with dynamic data masking.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Layer: Read-only verification (PostgreSQL, MySQL, MongoDB).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vp5u68d78unh" w:id="8"/>
      <w:bookmarkEnd w:id="8"/>
      <w:r w:rsidDel="00000000" w:rsidR="00000000" w:rsidRPr="00000000">
        <w:rPr>
          <w:rtl w:val="0"/>
        </w:rPr>
        <w:t xml:space="preserve">Pillar 6: Model Context Protocol (MCP) &amp; IDE Integration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Exposes all test runners, trace inspectors, and page object generators as callable MCP tools.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Allows you to invoke testing workflows from any MCP-compatible environment (Claude Code, Cursor, terminal, or JARVIS HUD).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ssjoergwvi" w:id="9"/>
      <w:bookmarkEnd w:id="9"/>
      <w:r w:rsidDel="00000000" w:rsidR="00000000" w:rsidRPr="00000000">
        <w:rPr>
          <w:rtl w:val="0"/>
        </w:rPr>
        <w:t xml:space="preserve">3. The JARVIS Hollywood-Style Command Center Interface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WebSocket streaming with zero manual page refreshes.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Neural Agent Visualizer showing active agents (JARVIS, Coder, Sentinel, Healer, Auditor).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Live Picture-in-Picture (PiP) browser execution stream.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Holographic-style approval cards for gated high-impact actions (code commits, defect publishing).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