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2z7vk1anqm" w:id="0"/>
      <w:bookmarkEnd w:id="0"/>
      <w:r w:rsidDel="00000000" w:rsidR="00000000" w:rsidRPr="00000000">
        <w:rPr>
          <w:rtl w:val="0"/>
        </w:rPr>
        <w:t xml:space="preserve">DHRUVA Master Blueprint Version 2: Complete Quality Operating System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pjx1jjhbgwy" w:id="1"/>
      <w:bookmarkEnd w:id="1"/>
      <w:r w:rsidDel="00000000" w:rsidR="00000000" w:rsidRPr="00000000">
        <w:rPr>
          <w:rtl w:val="0"/>
        </w:rPr>
        <w:t xml:space="preserve">1. Upstream Foundation: Application Model &amp; Risk-Based Strategy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 data and test cases do not exist in a vacuum. Everything originates from an explicit Application Model: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 Application Model ] (Purpose, Problem Statement, Actors, Features, State Rules)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 Project Risk Strategy ] (Decides what to test, what to skip, and records reasons)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 Technique Selection ] (EP, BVA, Decision Tables, State Transitions, Use Cases)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 Test Data &amp; Test Spec Generation ] (Bound by the 4-Axis Mental Model)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5dv9koqtafs2" w:id="2"/>
      <w:bookmarkEnd w:id="2"/>
      <w:r w:rsidDel="00000000" w:rsidR="00000000" w:rsidRPr="00000000">
        <w:rPr>
          <w:rtl w:val="0"/>
        </w:rPr>
        <w:t xml:space="preserve">2. The 4-Axis Mental Model for Testing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Every single test case is categorized across four independent axes: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Level: Integration, System, Acceptance. (Unit belongs in dev repositories).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Type: Functional (UI, API-to-UI contract, state lifecycle) or Non-Functional (Accessibility, visual layout, compatibility).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Design Technique: Black-box (EP, BVA, Decision Table, State Transition, Use Case) or Experience-based (Error guessing, checklist).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Execution Style: Scripted (deterministic Playwright runner) or Agent-Assisted Exploratory.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2u95vladfmu7" w:id="3"/>
      <w:bookmarkEnd w:id="3"/>
      <w:r w:rsidDel="00000000" w:rsidR="00000000" w:rsidRPr="00000000">
        <w:rPr>
          <w:rtl w:val="0"/>
        </w:rPr>
        <w:t xml:space="preserve">3. The 3-Tier Automation Boundary (Honest Capability Scope)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9s0mophaodxr" w:id="4"/>
      <w:bookmarkEnd w:id="4"/>
      <w:r w:rsidDel="00000000" w:rsidR="00000000" w:rsidRPr="00000000">
        <w:rPr>
          <w:rtl w:val="0"/>
        </w:rPr>
        <w:t xml:space="preserve">Tier 1: Fully Automated (Deterministic / High ROI)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Smoke verification (@smoke) on critical business paths.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functional regression and UI data lifecycle (@crud).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Chained stateful workflows (@chained) running with single worker serial execution.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API-to-UI contract integration tests.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Automated WCAG 2.1 AA accessibility scans via @axe-core/playwright.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Gated visual regression with dynamic masking.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Negative input boundary validation (testing form resilience against malformed/long strings).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read-only health checks (asserting zero 500/404 errors with mutating submits blocked).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9uqj24anqdbh" w:id="5"/>
      <w:bookmarkEnd w:id="5"/>
      <w:r w:rsidDel="00000000" w:rsidR="00000000" w:rsidRPr="00000000">
        <w:rPr>
          <w:rtl w:val="0"/>
        </w:rPr>
        <w:t xml:space="preserve">Tier 2: Agent-Assisted Human QA (Collaborative)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Exploratory testing with agent-suggested clues and anomaly highlights.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UAT scenario drafting and acceptance criteria formatting.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Accessibility violation triage and remediation recommendations.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3siqudcf6aal" w:id="6"/>
      <w:bookmarkEnd w:id="6"/>
      <w:r w:rsidDel="00000000" w:rsidR="00000000" w:rsidRPr="00000000">
        <w:rPr>
          <w:rtl w:val="0"/>
        </w:rPr>
        <w:t xml:space="preserve">Tier 3: Pure Human Domain Judgment (Out of Scope for Autonomous Claims)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True usability, user experience feel, and visual design harmony.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 business UAT sign-off.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Dedicated multi-thousand concurrent user load and stress testing (requires k6 or JMeter).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Deep penetration testing, auth token cracking, and network vulnerability audits.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7kr43isgwzsj" w:id="7"/>
      <w:bookmarkEnd w:id="7"/>
      <w:r w:rsidDel="00000000" w:rsidR="00000000" w:rsidRPr="00000000">
        <w:rPr>
          <w:rtl w:val="0"/>
        </w:rPr>
        <w:t xml:space="preserve">4. The 8 Core Workflows &amp; Inter-Workflow Communication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Onboard Project: Model application, derive risk strategy, configure environments.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Author Test: Apply design techniques to generate Page Objects, specs, and test data.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Suite: Select scope by impact, execute via Playwright, capture 4-layer artifact bundle.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Triage Failure: Classify failure as real bug, locator shift, environment fluke, or doubt.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Heal: Bounded self-healing (max 3 retries) on locator shifts; stages PR diff for review.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 Fix: Re-run failed spec plus adjacent regression; update status in bugs.md.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Report &amp; Notify: Generate Allure dashboard and send humanized Slack/Teams summaries (zero em-dashes).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Promote: Create branch, run dev/staging validation, raise PR, verify merge, and run production health sweep.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i4xyrqqbpwtl" w:id="8"/>
      <w:bookmarkEnd w:id="8"/>
      <w:r w:rsidDel="00000000" w:rsidR="00000000" w:rsidRPr="00000000">
        <w:rPr>
          <w:rtl w:val="0"/>
        </w:rPr>
        <w:t xml:space="preserve">5. The Fail-Fast Execution Ladder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Stage 1: Static AST &amp; syntax audit (pre-flight).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Stage 2: Smoke critical paths (blocking fail-fast gate).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Stage 3: Impact-based test suite (runs only tests affected by PR diffs).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Stage 4: Full functional regression (nightly and on merge).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Stage 5: Non-functional scans (accessibility and gated visual checks).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Stage 6: Cross-browser and staging pre-release gate.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Stage 7: Production read-only health sweep.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