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vnd.openxmlformats-officedocument.spreadsheetml.sheet" Extension="xlsx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v="urn:schemas-microsoft-com:vml" xmlns:o="urn:schemas-microsoft-com:office:office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五行强弱得分标准与范围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以下是 </w:t>
      </w:r>
      <w:r>
        <w:rPr>
          <w:rFonts w:eastAsia="等线" w:ascii="Arial" w:cs="Arial" w:hAnsi="Arial"/>
          <w:b w:val="true"/>
          <w:sz w:val="22"/>
        </w:rPr>
        <w:t>不考虑权重时</w:t>
      </w:r>
      <w:r>
        <w:rPr>
          <w:rFonts w:eastAsia="等线" w:ascii="Arial" w:cs="Arial" w:hAnsi="Arial"/>
          <w:sz w:val="22"/>
        </w:rPr>
        <w:t xml:space="preserve">，得令、得地、得势的 </w:t>
      </w:r>
      <w:r>
        <w:rPr>
          <w:rFonts w:eastAsia="等线" w:ascii="Arial" w:cs="Arial" w:hAnsi="Arial"/>
          <w:b w:val="true"/>
          <w:sz w:val="22"/>
        </w:rPr>
        <w:t>原始得分范围</w:t>
      </w:r>
      <w:r>
        <w:rPr>
          <w:rFonts w:eastAsia="等线" w:ascii="Arial" w:cs="Arial" w:hAnsi="Arial"/>
          <w:sz w:val="22"/>
        </w:rPr>
        <w:t xml:space="preserve"> 及详细解释：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一、得令（原始得分范围：0~1）​</w:t>
      </w:r>
      <w:bookmarkEnd w:id="0"/>
    </w:p>
    <w:p>
      <w:pPr>
        <w:numPr>
          <w:numId w:val="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定义</w:t>
      </w:r>
      <w:r>
        <w:rPr>
          <w:rFonts w:eastAsia="等线" w:ascii="Arial" w:cs="Arial" w:hAnsi="Arial"/>
          <w:sz w:val="22"/>
        </w:rPr>
        <w:t>：月令对日干的生克关系，决定先天能量基础。</w:t>
      </w:r>
    </w:p>
    <w:p>
      <w:pPr>
        <w:numPr>
          <w:numId w:val="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评分规则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得令（月令五行=日干五行）​</w:t>
      </w:r>
      <w:r>
        <w:rPr>
          <w:rFonts w:eastAsia="等线" w:ascii="Arial" w:cs="Arial" w:hAnsi="Arial"/>
          <w:sz w:val="22"/>
        </w:rPr>
        <w:t>：1分</w:t>
      </w:r>
    </w:p>
    <w:p>
      <w:pPr>
        <w:numPr>
          <w:numId w:val="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得生（月令五行生日干五行）​</w:t>
      </w:r>
      <w:r>
        <w:rPr>
          <w:rFonts w:eastAsia="等线" w:ascii="Arial" w:cs="Arial" w:hAnsi="Arial"/>
          <w:sz w:val="22"/>
        </w:rPr>
        <w:t>：0.5分</w:t>
      </w:r>
    </w:p>
    <w:p>
      <w:pPr>
        <w:numPr>
          <w:numId w:val="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被克（月令五行克日干五行）​</w:t>
      </w:r>
      <w:r>
        <w:rPr>
          <w:rFonts w:eastAsia="等线" w:ascii="Arial" w:cs="Arial" w:hAnsi="Arial"/>
          <w:sz w:val="22"/>
        </w:rPr>
        <w:t>：0分</w:t>
      </w:r>
    </w:p>
    <w:p>
      <w:pPr>
        <w:numPr>
          <w:numId w:val="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克月令（日干五行克月令五行）​</w:t>
      </w:r>
      <w:r>
        <w:rPr>
          <w:rFonts w:eastAsia="等线" w:ascii="Arial" w:cs="Arial" w:hAnsi="Arial"/>
          <w:sz w:val="22"/>
        </w:rPr>
        <w:t>：0.2分（微弱抵抗）</w:t>
      </w:r>
    </w:p>
    <w:p>
      <w:pPr>
        <w:numPr>
          <w:numId w:val="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无关系</w:t>
      </w:r>
      <w:r>
        <w:rPr>
          <w:rFonts w:eastAsia="等线" w:ascii="Arial" w:cs="Arial" w:hAnsi="Arial"/>
          <w:sz w:val="22"/>
        </w:rPr>
        <w:t>：0.3分</w:t>
      </w:r>
    </w:p>
    <w:p>
      <w:pPr>
        <w:numPr>
          <w:numId w:val="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日干甲木生于寅月（木旺）→ </w:t>
      </w:r>
      <w:r>
        <w:rPr>
          <w:rFonts w:eastAsia="等线" w:ascii="Arial" w:cs="Arial" w:hAnsi="Arial"/>
          <w:b w:val="true"/>
          <w:sz w:val="22"/>
        </w:rPr>
        <w:t>得令分=1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0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日干丙火生于卯月（木生火）→ </w:t>
      </w:r>
      <w:r>
        <w:rPr>
          <w:rFonts w:eastAsia="等线" w:ascii="Arial" w:cs="Arial" w:hAnsi="Arial"/>
          <w:b w:val="true"/>
          <w:sz w:val="22"/>
        </w:rPr>
        <w:t>得令分=0.5</w:t>
      </w:r>
      <w:r>
        <w:rPr>
          <w:rFonts w:eastAsia="等线" w:ascii="Arial" w:cs="Arial" w:hAnsi="Arial"/>
          <w:sz w:val="22"/>
        </w:rPr>
        <w:t>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二、得地（原始得分范围：0~约2.4）​</w:t>
      </w:r>
      <w:bookmarkEnd w:id="1"/>
    </w:p>
    <w:p>
      <w:pPr>
        <w:numPr>
          <w:numId w:val="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定义</w:t>
      </w:r>
      <w:r>
        <w:rPr>
          <w:rFonts w:eastAsia="等线" w:ascii="Arial" w:cs="Arial" w:hAnsi="Arial"/>
          <w:sz w:val="22"/>
        </w:rPr>
        <w:t>：地支中与日干同五行的根气（本气、中气、余气）权重总和。</w:t>
      </w:r>
    </w:p>
    <w:p>
      <w:pPr>
        <w:numPr>
          <w:numId w:val="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评分规则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本气根</w:t>
      </w:r>
      <w:r>
        <w:rPr>
          <w:rFonts w:eastAsia="等线" w:ascii="Arial" w:cs="Arial" w:hAnsi="Arial"/>
          <w:sz w:val="22"/>
        </w:rPr>
        <w:t xml:space="preserve">：每个地支中本气权重为 </w:t>
      </w:r>
      <w:r>
        <w:rPr>
          <w:rFonts w:eastAsia="等线" w:ascii="Arial" w:cs="Arial" w:hAnsi="Arial"/>
          <w:b w:val="true"/>
          <w:sz w:val="22"/>
        </w:rPr>
        <w:t>0.6</w:t>
      </w:r>
      <w:r>
        <w:rPr>
          <w:rFonts w:eastAsia="等线" w:ascii="Arial" w:cs="Arial" w:hAnsi="Arial"/>
          <w:sz w:val="22"/>
        </w:rPr>
        <w:t>​（如寅中甲木）。</w:t>
      </w:r>
    </w:p>
    <w:p>
      <w:pPr>
        <w:numPr>
          <w:numId w:val="1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中气根</w:t>
      </w:r>
      <w:r>
        <w:rPr>
          <w:rFonts w:eastAsia="等线" w:ascii="Arial" w:cs="Arial" w:hAnsi="Arial"/>
          <w:sz w:val="22"/>
        </w:rPr>
        <w:t xml:space="preserve">：每个地支中中气权重为 </w:t>
      </w:r>
      <w:r>
        <w:rPr>
          <w:rFonts w:eastAsia="等线" w:ascii="Arial" w:cs="Arial" w:hAnsi="Arial"/>
          <w:b w:val="true"/>
          <w:sz w:val="22"/>
        </w:rPr>
        <w:t>0.3</w:t>
      </w:r>
      <w:r>
        <w:rPr>
          <w:rFonts w:eastAsia="等线" w:ascii="Arial" w:cs="Arial" w:hAnsi="Arial"/>
          <w:sz w:val="22"/>
        </w:rPr>
        <w:t>​（如巳中庚金）。</w:t>
      </w:r>
    </w:p>
    <w:p>
      <w:pPr>
        <w:numPr>
          <w:numId w:val="1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余气根</w:t>
      </w:r>
      <w:r>
        <w:rPr>
          <w:rFonts w:eastAsia="等线" w:ascii="Arial" w:cs="Arial" w:hAnsi="Arial"/>
          <w:sz w:val="22"/>
        </w:rPr>
        <w:t xml:space="preserve">：每个地支中余气权重为 </w:t>
      </w:r>
      <w:r>
        <w:rPr>
          <w:rFonts w:eastAsia="等线" w:ascii="Arial" w:cs="Arial" w:hAnsi="Arial"/>
          <w:b w:val="true"/>
          <w:sz w:val="22"/>
        </w:rPr>
        <w:t>0.1</w:t>
      </w:r>
      <w:r>
        <w:rPr>
          <w:rFonts w:eastAsia="等线" w:ascii="Arial" w:cs="Arial" w:hAnsi="Arial"/>
          <w:sz w:val="22"/>
        </w:rPr>
        <w:t>​（如辰中癸水）。</w:t>
      </w:r>
    </w:p>
    <w:p>
      <w:pPr>
        <w:numPr>
          <w:numId w:val="1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总得分</w:t>
      </w:r>
      <w:r>
        <w:rPr>
          <w:rFonts w:eastAsia="等线" w:ascii="Arial" w:cs="Arial" w:hAnsi="Arial"/>
          <w:sz w:val="22"/>
        </w:rPr>
        <w:t>：所有地支中同五行的根气权重累加（可能超过1）。</w:t>
      </w:r>
    </w:p>
    <w:p>
      <w:pPr>
        <w:numPr>
          <w:numId w:val="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1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日干甲木，地支有寅（甲木0.6）、辰（乙木0.3）→ </w:t>
      </w:r>
      <w:r>
        <w:rPr>
          <w:rFonts w:eastAsia="等线" w:ascii="Arial" w:cs="Arial" w:hAnsi="Arial"/>
          <w:b w:val="true"/>
          <w:sz w:val="22"/>
        </w:rPr>
        <w:t>得地分=0.6+0.3=0.9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1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日干戊土，地支有辰（戊土0.6）、戌（戊土0.6）、丑（己土0.6）→ </w:t>
      </w:r>
      <w:r>
        <w:rPr>
          <w:rFonts w:eastAsia="等线" w:ascii="Arial" w:cs="Arial" w:hAnsi="Arial"/>
          <w:b w:val="true"/>
          <w:sz w:val="22"/>
        </w:rPr>
        <w:t>得地分=0.6+0.6+0.6=1.8</w:t>
      </w:r>
      <w:r>
        <w:rPr>
          <w:rFonts w:eastAsia="等线" w:ascii="Arial" w:cs="Arial" w:hAnsi="Arial"/>
          <w:sz w:val="22"/>
        </w:rPr>
        <w:t>​（实际罕见，但理论上可能）。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三、得势（原始得分范围：-4~4）​</w:t>
      </w:r>
      <w:bookmarkEnd w:id="2"/>
    </w:p>
    <w:p>
      <w:pPr>
        <w:numPr>
          <w:numId w:val="2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定义</w:t>
      </w:r>
      <w:r>
        <w:rPr>
          <w:rFonts w:eastAsia="等线" w:ascii="Arial" w:cs="Arial" w:hAnsi="Arial"/>
          <w:sz w:val="22"/>
        </w:rPr>
        <w:t>：天干中生扶（比劫、印星）与克耗（官杀、财星、食伤）的数量差。</w:t>
      </w:r>
    </w:p>
    <w:p>
      <w:pPr>
        <w:numPr>
          <w:numId w:val="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评分规则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2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生扶</w:t>
      </w:r>
      <w:r>
        <w:rPr>
          <w:rFonts w:eastAsia="等线" w:ascii="Arial" w:cs="Arial" w:hAnsi="Arial"/>
          <w:sz w:val="22"/>
        </w:rPr>
        <w:t>：比劫（同类）、印星（生我）每出现一次 **+1分**。</w:t>
      </w:r>
    </w:p>
    <w:p>
      <w:pPr>
        <w:numPr>
          <w:numId w:val="2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克耗</w:t>
      </w:r>
      <w:r>
        <w:rPr>
          <w:rFonts w:eastAsia="等线" w:ascii="Arial" w:cs="Arial" w:hAnsi="Arial"/>
          <w:sz w:val="22"/>
        </w:rPr>
        <w:t>：官杀（克我）、财星（我克）、食伤（我生）每出现一次 **-1分**。</w:t>
      </w:r>
    </w:p>
    <w:p>
      <w:pPr>
        <w:numPr>
          <w:numId w:val="2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b w:val="true"/>
          <w:sz w:val="22"/>
        </w:rPr>
        <w:t>总得分</w:t>
      </w:r>
      <w:r>
        <w:rPr>
          <w:rFonts w:eastAsia="等线" w:ascii="Arial" w:cs="Arial" w:hAnsi="Arial"/>
          <w:sz w:val="22"/>
        </w:rPr>
        <w:t>：生扶数 - 克耗数。</w:t>
      </w:r>
    </w:p>
    <w:p>
      <w:pPr>
        <w:numPr>
          <w:numId w:val="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示例</w:t>
      </w:r>
      <w:r>
        <w:rPr>
          <w:rFonts w:eastAsia="等线" w:ascii="Arial" w:cs="Arial" w:hAnsi="Arial"/>
          <w:sz w:val="22"/>
        </w:rPr>
        <w:t>：</w:t>
      </w:r>
    </w:p>
    <w:p>
      <w:pPr>
        <w:numPr>
          <w:numId w:val="2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八字中比劫3个、印星1个、官杀2个 → </w:t>
      </w:r>
      <w:r>
        <w:rPr>
          <w:rFonts w:eastAsia="等线" w:ascii="Arial" w:cs="Arial" w:hAnsi="Arial"/>
          <w:b w:val="true"/>
          <w:sz w:val="22"/>
        </w:rPr>
        <w:t>得势分=(3+1)-2=2</w:t>
      </w:r>
      <w:r>
        <w:rPr>
          <w:rFonts w:eastAsia="等线" w:ascii="Arial" w:cs="Arial" w:hAnsi="Arial"/>
          <w:sz w:val="22"/>
        </w:rPr>
        <w:t>。</w:t>
      </w:r>
    </w:p>
    <w:p>
      <w:pPr>
        <w:numPr>
          <w:numId w:val="2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 xml:space="preserve">八字中财星4个、食伤1个、无比劫印星 → </w:t>
      </w:r>
      <w:r>
        <w:rPr>
          <w:rFonts w:eastAsia="等线" w:ascii="Arial" w:cs="Arial" w:hAnsi="Arial"/>
          <w:b w:val="true"/>
          <w:sz w:val="22"/>
        </w:rPr>
        <w:t>得势分=0-(4+1)=-5</w:t>
      </w:r>
      <w:r>
        <w:rPr>
          <w:rFonts w:eastAsia="等线" w:ascii="Arial" w:cs="Arial" w:hAnsi="Arial"/>
          <w:sz w:val="22"/>
        </w:rPr>
        <w:t>​（极端案例）。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四、总结</w:t>
      </w:r>
      <w:bookmarkEnd w:id="3"/>
    </w:p>
    <w:p>
      <w:pPr>
        <w:spacing w:before="120" w:after="120" w:line="288" w:lineRule="auto"/>
        <w:ind w:left="0"/>
      </w:pPr>
      <w:r>
        <w:object>
          <v:shapetype coordsize="21600,21600" filled="f" id="_x0000_t75" o:preferrelative="t" path="m@4@5l@4@11@9@11@9@5xe" stroked="f" o:spt="75.0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aspectratio="t" v:ext="edit"/>
          </v:shapetype>
          <v:shape id="_x0000_i1025" style="width:414pt;height:117pt;mso-width-percent:0;mso-height-percent:0;mso-width-percent:0;mso-height-percent:0" type="#_x0000_t75" o:ole="">
            <v:imagedata r:id="rId6" o:title=""/>
          </v:shape>
          <o:OLEObject DrawAspect="Icon" ObjectID="_1718471219" ProgID="Excel.Sheet.12" ShapeID="_x0000_i1025" Type="Embed" r:id="rId5"/>
        </w:object>
      </w:r>
    </w:p>
    <w:p>
      <w:pPr>
        <w:spacing w:after="120"/>
        <w:ind w:left="0"/>
        <w:jc w:val="center"/>
      </w:pPr>
      <w:r>
        <w:rPr>
          <w:rFonts w:eastAsia="等线" w:ascii="Arial" w:cs="Arial" w:hAnsi="Arial"/>
          <w:b w:val="true"/>
          <w:sz w:val="22"/>
        </w:rPr>
        <w:t>点击图片可查看完整电子表格</w:t>
      </w:r>
    </w:p>
    <w:p>
      <w:pPr>
        <w:pBdr>
          <w:bottom w:val="single" w:color="dee0e3"/>
          <w:between w:val="single" w:color="dee0e3"/>
        </w:pBdr>
        <w:spacing w:before="120" w:after="120" w:line="288" w:lineRule="auto"/>
        <w:ind w:left="0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五、注意事项</w:t>
      </w:r>
      <w:bookmarkEnd w:id="4"/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得地可能超过1</w:t>
      </w:r>
      <w:r>
        <w:rPr>
          <w:rFonts w:eastAsia="等线" w:ascii="Arial" w:cs="Arial" w:hAnsi="Arial"/>
          <w:sz w:val="22"/>
        </w:rPr>
        <w:t>：多个地支存在同五行根气时，得分可叠加（如三处本气根：0.6×3=1.8）。</w:t>
      </w: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得势负分常见</w:t>
      </w:r>
      <w:r>
        <w:rPr>
          <w:rFonts w:eastAsia="等线" w:ascii="Arial" w:cs="Arial" w:hAnsi="Arial"/>
          <w:sz w:val="22"/>
        </w:rPr>
        <w:t>：克耗力量易占优（财、官杀、食伤共7种十神，生扶仅比劫、印星5种）。</w:t>
      </w: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b w:val="true"/>
          <w:sz w:val="22"/>
        </w:rPr>
        <w:t>理论与实际差异</w:t>
      </w:r>
      <w:r>
        <w:rPr>
          <w:rFonts w:eastAsia="等线" w:ascii="Arial" w:cs="Arial" w:hAnsi="Arial"/>
          <w:sz w:val="22"/>
        </w:rPr>
        <w:t>：极端得分（如得势-4）在真实八字中罕见，需结合全局判断。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通过原始得分，可更灵活分析命局，但需结合权重和命理逻辑综合解读。</w:t>
      </w:r>
    </w:p>
    <w:sectPr>
      <w:footerReference w:type="default" r:id="rId3"/>
      <w:headerReference w:type="default" r:id="rId7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17056">
    <w:lvl>
      <w:numFmt w:val="bullet"/>
      <w:suff w:val="tab"/>
      <w:lvlText w:val="￮"/>
      <w:rPr>
        <w:color w:val="3370ff"/>
      </w:rPr>
    </w:lvl>
  </w:abstractNum>
  <w:abstractNum w:abstractNumId="517057">
    <w:lvl>
      <w:numFmt w:val="bullet"/>
      <w:suff w:val="tab"/>
      <w:lvlText w:val="￮"/>
      <w:rPr>
        <w:color w:val="3370ff"/>
      </w:rPr>
    </w:lvl>
  </w:abstractNum>
  <w:abstractNum w:abstractNumId="517058">
    <w:lvl>
      <w:numFmt w:val="bullet"/>
      <w:suff w:val="tab"/>
      <w:lvlText w:val="▪"/>
      <w:rPr>
        <w:color w:val="3370ff"/>
        <w:sz w:val="11"/>
      </w:rPr>
    </w:lvl>
  </w:abstractNum>
  <w:abstractNum w:abstractNumId="517059">
    <w:lvl>
      <w:numFmt w:val="bullet"/>
      <w:suff w:val="tab"/>
      <w:lvlText w:val="▪"/>
      <w:rPr>
        <w:color w:val="3370ff"/>
        <w:sz w:val="11"/>
      </w:rPr>
    </w:lvl>
  </w:abstractNum>
  <w:abstractNum w:abstractNumId="517060">
    <w:lvl>
      <w:numFmt w:val="bullet"/>
      <w:suff w:val="tab"/>
      <w:lvlText w:val="▪"/>
      <w:rPr>
        <w:color w:val="3370ff"/>
        <w:sz w:val="11"/>
      </w:rPr>
    </w:lvl>
  </w:abstractNum>
  <w:abstractNum w:abstractNumId="517061">
    <w:lvl>
      <w:numFmt w:val="bullet"/>
      <w:suff w:val="tab"/>
      <w:lvlText w:val="▪"/>
      <w:rPr>
        <w:color w:val="3370ff"/>
        <w:sz w:val="11"/>
      </w:rPr>
    </w:lvl>
  </w:abstractNum>
  <w:abstractNum w:abstractNumId="517062">
    <w:lvl>
      <w:numFmt w:val="bullet"/>
      <w:suff w:val="tab"/>
      <w:lvlText w:val="▪"/>
      <w:rPr>
        <w:color w:val="3370ff"/>
        <w:sz w:val="11"/>
      </w:rPr>
    </w:lvl>
  </w:abstractNum>
  <w:abstractNum w:abstractNumId="517063">
    <w:lvl>
      <w:numFmt w:val="bullet"/>
      <w:suff w:val="tab"/>
      <w:lvlText w:val="￮"/>
      <w:rPr>
        <w:color w:val="3370ff"/>
      </w:rPr>
    </w:lvl>
  </w:abstractNum>
  <w:abstractNum w:abstractNumId="517064">
    <w:lvl>
      <w:numFmt w:val="bullet"/>
      <w:suff w:val="tab"/>
      <w:lvlText w:val="▪"/>
      <w:rPr>
        <w:color w:val="3370ff"/>
        <w:sz w:val="11"/>
      </w:rPr>
    </w:lvl>
  </w:abstractNum>
  <w:abstractNum w:abstractNumId="517065">
    <w:lvl>
      <w:numFmt w:val="bullet"/>
      <w:suff w:val="tab"/>
      <w:lvlText w:val="▪"/>
      <w:rPr>
        <w:color w:val="3370ff"/>
        <w:sz w:val="11"/>
      </w:rPr>
    </w:lvl>
  </w:abstractNum>
  <w:abstractNum w:abstractNumId="517066">
    <w:lvl>
      <w:numFmt w:val="bullet"/>
      <w:suff w:val="tab"/>
      <w:lvlText w:val="￮"/>
      <w:rPr>
        <w:color w:val="3370ff"/>
      </w:rPr>
    </w:lvl>
  </w:abstractNum>
  <w:abstractNum w:abstractNumId="517067">
    <w:lvl>
      <w:numFmt w:val="bullet"/>
      <w:suff w:val="tab"/>
      <w:lvlText w:val="￮"/>
      <w:rPr>
        <w:color w:val="3370ff"/>
      </w:rPr>
    </w:lvl>
  </w:abstractNum>
  <w:abstractNum w:abstractNumId="517068">
    <w:lvl>
      <w:numFmt w:val="bullet"/>
      <w:suff w:val="tab"/>
      <w:lvlText w:val="▪"/>
      <w:rPr>
        <w:color w:val="3370ff"/>
        <w:sz w:val="11"/>
      </w:rPr>
    </w:lvl>
  </w:abstractNum>
  <w:abstractNum w:abstractNumId="517069">
    <w:lvl>
      <w:numFmt w:val="bullet"/>
      <w:suff w:val="tab"/>
      <w:lvlText w:val="▪"/>
      <w:rPr>
        <w:color w:val="3370ff"/>
        <w:sz w:val="11"/>
      </w:rPr>
    </w:lvl>
  </w:abstractNum>
  <w:abstractNum w:abstractNumId="517070">
    <w:lvl>
      <w:numFmt w:val="bullet"/>
      <w:suff w:val="tab"/>
      <w:lvlText w:val="▪"/>
      <w:rPr>
        <w:color w:val="3370ff"/>
        <w:sz w:val="11"/>
      </w:rPr>
    </w:lvl>
  </w:abstractNum>
  <w:abstractNum w:abstractNumId="517071">
    <w:lvl>
      <w:numFmt w:val="bullet"/>
      <w:suff w:val="tab"/>
      <w:lvlText w:val="▪"/>
      <w:rPr>
        <w:color w:val="3370ff"/>
        <w:sz w:val="11"/>
      </w:rPr>
    </w:lvl>
  </w:abstractNum>
  <w:abstractNum w:abstractNumId="517072">
    <w:lvl>
      <w:numFmt w:val="bullet"/>
      <w:suff w:val="tab"/>
      <w:lvlText w:val="￮"/>
      <w:rPr>
        <w:color w:val="3370ff"/>
      </w:rPr>
    </w:lvl>
  </w:abstractNum>
  <w:abstractNum w:abstractNumId="517073">
    <w:lvl>
      <w:numFmt w:val="bullet"/>
      <w:suff w:val="tab"/>
      <w:lvlText w:val="▪"/>
      <w:rPr>
        <w:color w:val="3370ff"/>
        <w:sz w:val="11"/>
      </w:rPr>
    </w:lvl>
  </w:abstractNum>
  <w:abstractNum w:abstractNumId="517074">
    <w:lvl>
      <w:numFmt w:val="bullet"/>
      <w:suff w:val="tab"/>
      <w:lvlText w:val="▪"/>
      <w:rPr>
        <w:color w:val="3370ff"/>
        <w:sz w:val="11"/>
      </w:rPr>
    </w:lvl>
  </w:abstractNum>
  <w:abstractNum w:abstractNumId="517075">
    <w:lvl>
      <w:numFmt w:val="bullet"/>
      <w:suff w:val="tab"/>
      <w:lvlText w:val="￮"/>
      <w:rPr>
        <w:color w:val="3370ff"/>
      </w:rPr>
    </w:lvl>
  </w:abstractNum>
  <w:abstractNum w:abstractNumId="517076">
    <w:lvl>
      <w:numFmt w:val="bullet"/>
      <w:suff w:val="tab"/>
      <w:lvlText w:val="￮"/>
      <w:rPr>
        <w:color w:val="3370ff"/>
      </w:rPr>
    </w:lvl>
  </w:abstractNum>
  <w:abstractNum w:abstractNumId="517077">
    <w:lvl>
      <w:numFmt w:val="bullet"/>
      <w:suff w:val="tab"/>
      <w:lvlText w:val="▪"/>
      <w:rPr>
        <w:color w:val="3370ff"/>
        <w:sz w:val="11"/>
      </w:rPr>
    </w:lvl>
  </w:abstractNum>
  <w:abstractNum w:abstractNumId="517078">
    <w:lvl>
      <w:numFmt w:val="bullet"/>
      <w:suff w:val="tab"/>
      <w:lvlText w:val="▪"/>
      <w:rPr>
        <w:color w:val="3370ff"/>
        <w:sz w:val="11"/>
      </w:rPr>
    </w:lvl>
  </w:abstractNum>
  <w:abstractNum w:abstractNumId="517079">
    <w:lvl>
      <w:numFmt w:val="bullet"/>
      <w:suff w:val="tab"/>
      <w:lvlText w:val="▪"/>
      <w:rPr>
        <w:color w:val="3370ff"/>
        <w:sz w:val="11"/>
      </w:rPr>
    </w:lvl>
  </w:abstractNum>
  <w:abstractNum w:abstractNumId="517080">
    <w:lvl>
      <w:numFmt w:val="bullet"/>
      <w:suff w:val="tab"/>
      <w:lvlText w:val="￮"/>
      <w:rPr>
        <w:color w:val="3370ff"/>
      </w:rPr>
    </w:lvl>
  </w:abstractNum>
  <w:abstractNum w:abstractNumId="517081">
    <w:lvl>
      <w:numFmt w:val="bullet"/>
      <w:suff w:val="tab"/>
      <w:lvlText w:val="▪"/>
      <w:rPr>
        <w:color w:val="3370ff"/>
        <w:sz w:val="11"/>
      </w:rPr>
    </w:lvl>
  </w:abstractNum>
  <w:abstractNum w:abstractNumId="517082">
    <w:lvl>
      <w:numFmt w:val="bullet"/>
      <w:suff w:val="tab"/>
      <w:lvlText w:val="▪"/>
      <w:rPr>
        <w:color w:val="3370ff"/>
        <w:sz w:val="11"/>
      </w:rPr>
    </w:lvl>
  </w:abstractNum>
  <w:abstractNum w:abstractNumId="517083">
    <w:lvl>
      <w:start w:val="1"/>
      <w:numFmt w:val="lowerLetter"/>
      <w:suff w:val="tab"/>
      <w:lvlText w:val="%1."/>
      <w:rPr>
        <w:color w:val="3370ff"/>
      </w:rPr>
    </w:lvl>
  </w:abstractNum>
  <w:abstractNum w:abstractNumId="517084">
    <w:lvl>
      <w:start w:val="2"/>
      <w:numFmt w:val="lowerLetter"/>
      <w:suff w:val="tab"/>
      <w:lvlText w:val="%1."/>
      <w:rPr>
        <w:color w:val="3370ff"/>
      </w:rPr>
    </w:lvl>
  </w:abstractNum>
  <w:abstractNum w:abstractNumId="517085">
    <w:lvl>
      <w:start w:val="3"/>
      <w:numFmt w:val="lowerLetter"/>
      <w:suff w:val="tab"/>
      <w:lvlText w:val="%1."/>
      <w:rPr>
        <w:color w:val="3370ff"/>
      </w:rPr>
    </w:lvl>
  </w:abstractNum>
  <w:num w:numId="1">
    <w:abstractNumId w:val="517056"/>
  </w:num>
  <w:num w:numId="2">
    <w:abstractNumId w:val="517057"/>
  </w:num>
  <w:num w:numId="3">
    <w:abstractNumId w:val="517058"/>
  </w:num>
  <w:num w:numId="4">
    <w:abstractNumId w:val="517059"/>
  </w:num>
  <w:num w:numId="5">
    <w:abstractNumId w:val="517060"/>
  </w:num>
  <w:num w:numId="6">
    <w:abstractNumId w:val="517061"/>
  </w:num>
  <w:num w:numId="7">
    <w:abstractNumId w:val="517062"/>
  </w:num>
  <w:num w:numId="8">
    <w:abstractNumId w:val="517063"/>
  </w:num>
  <w:num w:numId="9">
    <w:abstractNumId w:val="517064"/>
  </w:num>
  <w:num w:numId="10">
    <w:abstractNumId w:val="517065"/>
  </w:num>
  <w:num w:numId="11">
    <w:abstractNumId w:val="517066"/>
  </w:num>
  <w:num w:numId="12">
    <w:abstractNumId w:val="517067"/>
  </w:num>
  <w:num w:numId="13">
    <w:abstractNumId w:val="517068"/>
  </w:num>
  <w:num w:numId="14">
    <w:abstractNumId w:val="517069"/>
  </w:num>
  <w:num w:numId="15">
    <w:abstractNumId w:val="517070"/>
  </w:num>
  <w:num w:numId="16">
    <w:abstractNumId w:val="517071"/>
  </w:num>
  <w:num w:numId="17">
    <w:abstractNumId w:val="517072"/>
  </w:num>
  <w:num w:numId="18">
    <w:abstractNumId w:val="517073"/>
  </w:num>
  <w:num w:numId="19">
    <w:abstractNumId w:val="517074"/>
  </w:num>
  <w:num w:numId="20">
    <w:abstractNumId w:val="517075"/>
  </w:num>
  <w:num w:numId="21">
    <w:abstractNumId w:val="517076"/>
  </w:num>
  <w:num w:numId="22">
    <w:abstractNumId w:val="517077"/>
  </w:num>
  <w:num w:numId="23">
    <w:abstractNumId w:val="517078"/>
  </w:num>
  <w:num w:numId="24">
    <w:abstractNumId w:val="517079"/>
  </w:num>
  <w:num w:numId="25">
    <w:abstractNumId w:val="517080"/>
  </w:num>
  <w:num w:numId="26">
    <w:abstractNumId w:val="517081"/>
  </w:num>
  <w:num w:numId="27">
    <w:abstractNumId w:val="517082"/>
  </w:num>
  <w:num w:numId="28">
    <w:abstractNumId w:val="517083"/>
  </w:num>
  <w:num w:numId="29">
    <w:abstractNumId w:val="517084"/>
  </w:num>
  <w:num w:numId="30">
    <w:abstractNumId w:val="517085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embeddings/Microsoft_Excel_Worksheet1.xlsx" Type="http://schemas.openxmlformats.org/officeDocument/2006/relationships/package"/><Relationship Id="rId6" Target="media/image1.png" Type="http://schemas.openxmlformats.org/officeDocument/2006/relationships/image"/><Relationship Id="rId7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2025-03-24T01:12:37Z</dcterms:created>
  <dc:creator>Apache POI</dc:creator>
</cp:coreProperties>
</file>