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4F760" w14:textId="77777777" w:rsidR="00503751" w:rsidRPr="00503751" w:rsidRDefault="00503751" w:rsidP="00503751">
      <w:pPr>
        <w:rPr>
          <w:b/>
          <w:bCs/>
        </w:rPr>
      </w:pPr>
      <w:r w:rsidRPr="00503751">
        <w:rPr>
          <w:b/>
          <w:bCs/>
        </w:rPr>
        <w:t>Project Report</w:t>
      </w:r>
    </w:p>
    <w:p w14:paraId="1542E1FD" w14:textId="77777777" w:rsidR="00503751" w:rsidRPr="00503751" w:rsidRDefault="00503751" w:rsidP="00503751">
      <w:pPr>
        <w:rPr>
          <w:b/>
          <w:bCs/>
        </w:rPr>
      </w:pPr>
      <w:r w:rsidRPr="00503751">
        <w:rPr>
          <w:b/>
          <w:bCs/>
        </w:rPr>
        <w:t>Data Collection Method</w:t>
      </w:r>
    </w:p>
    <w:p w14:paraId="41E45EA8" w14:textId="77777777" w:rsidR="00503751" w:rsidRPr="00503751" w:rsidRDefault="00503751" w:rsidP="00503751">
      <w:pPr>
        <w:numPr>
          <w:ilvl w:val="0"/>
          <w:numId w:val="1"/>
        </w:numPr>
      </w:pPr>
      <w:r w:rsidRPr="00503751">
        <w:rPr>
          <w:b/>
          <w:bCs/>
        </w:rPr>
        <w:t>Wallet Input:</w:t>
      </w:r>
      <w:r w:rsidRPr="00503751">
        <w:t> The process starts with wallets imported from an Excel file, targeting addresses of interest.</w:t>
      </w:r>
    </w:p>
    <w:p w14:paraId="71103243" w14:textId="77777777" w:rsidR="00503751" w:rsidRPr="00503751" w:rsidRDefault="00503751" w:rsidP="00503751">
      <w:pPr>
        <w:numPr>
          <w:ilvl w:val="0"/>
          <w:numId w:val="1"/>
        </w:numPr>
      </w:pPr>
      <w:r w:rsidRPr="00503751">
        <w:rPr>
          <w:b/>
          <w:bCs/>
        </w:rPr>
        <w:t>On-chain Data:</w:t>
      </w:r>
      <w:r w:rsidRPr="00503751">
        <w:t xml:space="preserve"> For each wallet and four major Compound </w:t>
      </w:r>
      <w:proofErr w:type="spellStart"/>
      <w:r w:rsidRPr="00503751">
        <w:t>cTokens</w:t>
      </w:r>
      <w:proofErr w:type="spellEnd"/>
      <w:r w:rsidRPr="00503751">
        <w:t xml:space="preserve"> (</w:t>
      </w:r>
      <w:proofErr w:type="spellStart"/>
      <w:r w:rsidRPr="00503751">
        <w:t>cDAI</w:t>
      </w:r>
      <w:proofErr w:type="spellEnd"/>
      <w:r w:rsidRPr="00503751">
        <w:t xml:space="preserve">, </w:t>
      </w:r>
      <w:proofErr w:type="spellStart"/>
      <w:r w:rsidRPr="00503751">
        <w:t>cUSDC</w:t>
      </w:r>
      <w:proofErr w:type="spellEnd"/>
      <w:r w:rsidRPr="00503751">
        <w:t xml:space="preserve">, </w:t>
      </w:r>
      <w:proofErr w:type="spellStart"/>
      <w:r w:rsidRPr="00503751">
        <w:t>cETH</w:t>
      </w:r>
      <w:proofErr w:type="spellEnd"/>
      <w:r w:rsidRPr="00503751">
        <w:t xml:space="preserve">, </w:t>
      </w:r>
      <w:proofErr w:type="spellStart"/>
      <w:r w:rsidRPr="00503751">
        <w:t>cWBTC</w:t>
      </w:r>
      <w:proofErr w:type="spellEnd"/>
      <w:r w:rsidRPr="00503751">
        <w:t>), token transfer history is fetched via the Covalent API.</w:t>
      </w:r>
    </w:p>
    <w:p w14:paraId="15652F60" w14:textId="77777777" w:rsidR="00503751" w:rsidRPr="00503751" w:rsidRDefault="00503751" w:rsidP="00503751">
      <w:pPr>
        <w:numPr>
          <w:ilvl w:val="0"/>
          <w:numId w:val="1"/>
        </w:numPr>
      </w:pPr>
      <w:r w:rsidRPr="00503751">
        <w:rPr>
          <w:b/>
          <w:bCs/>
        </w:rPr>
        <w:t>Scope:</w:t>
      </w:r>
      <w:r w:rsidRPr="00503751">
        <w:t xml:space="preserve"> Only transactions relevant to Compound V2 </w:t>
      </w:r>
      <w:proofErr w:type="spellStart"/>
      <w:r w:rsidRPr="00503751">
        <w:t>cTokens</w:t>
      </w:r>
      <w:proofErr w:type="spellEnd"/>
      <w:r w:rsidRPr="00503751">
        <w:t xml:space="preserve"> are considered, focusing the analysis on protocol-specific activity.</w:t>
      </w:r>
    </w:p>
    <w:p w14:paraId="65D7333D" w14:textId="77777777" w:rsidR="00503751" w:rsidRPr="00503751" w:rsidRDefault="00503751" w:rsidP="00503751">
      <w:pPr>
        <w:numPr>
          <w:ilvl w:val="0"/>
          <w:numId w:val="1"/>
        </w:numPr>
      </w:pPr>
      <w:r w:rsidRPr="00503751">
        <w:rPr>
          <w:b/>
          <w:bCs/>
        </w:rPr>
        <w:t>Data Pipeline:</w:t>
      </w:r>
    </w:p>
    <w:p w14:paraId="0BD5A24D" w14:textId="77777777" w:rsidR="00503751" w:rsidRPr="00503751" w:rsidRDefault="00503751" w:rsidP="00503751">
      <w:pPr>
        <w:numPr>
          <w:ilvl w:val="1"/>
          <w:numId w:val="1"/>
        </w:numPr>
      </w:pPr>
      <w:r w:rsidRPr="00503751">
        <w:t xml:space="preserve">Fetch transfer events per (wallet, </w:t>
      </w:r>
      <w:proofErr w:type="spellStart"/>
      <w:r w:rsidRPr="00503751">
        <w:t>cToken</w:t>
      </w:r>
      <w:proofErr w:type="spellEnd"/>
      <w:r w:rsidRPr="00503751">
        <w:t>) pair.</w:t>
      </w:r>
    </w:p>
    <w:p w14:paraId="1DC0101C" w14:textId="77777777" w:rsidR="00503751" w:rsidRPr="00503751" w:rsidRDefault="00503751" w:rsidP="00503751">
      <w:pPr>
        <w:numPr>
          <w:ilvl w:val="1"/>
          <w:numId w:val="1"/>
        </w:numPr>
      </w:pPr>
      <w:r w:rsidRPr="00503751">
        <w:t>Save all retrieved transactions in a consolidated CSV for further processing.</w:t>
      </w:r>
    </w:p>
    <w:p w14:paraId="6C36B51F" w14:textId="77777777" w:rsidR="00503751" w:rsidRPr="00503751" w:rsidRDefault="00503751" w:rsidP="00503751">
      <w:pPr>
        <w:rPr>
          <w:b/>
          <w:bCs/>
        </w:rPr>
      </w:pPr>
      <w:r w:rsidRPr="00503751">
        <w:rPr>
          <w:b/>
          <w:bCs/>
        </w:rPr>
        <w:t>Feature Selection Rationale</w:t>
      </w:r>
    </w:p>
    <w:tbl>
      <w:tblPr>
        <w:tblpPr w:leftFromText="180" w:rightFromText="180" w:vertAnchor="text" w:horzAnchor="margin" w:tblpY="1529"/>
        <w:tblW w:w="86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6328"/>
      </w:tblGrid>
      <w:tr w:rsidR="00503751" w:rsidRPr="00503751" w14:paraId="40295D9F" w14:textId="77777777" w:rsidTr="00503751">
        <w:trPr>
          <w:trHeight w:val="477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55EED" w14:textId="77777777" w:rsidR="00503751" w:rsidRPr="00503751" w:rsidRDefault="00503751" w:rsidP="00503751">
            <w:pPr>
              <w:rPr>
                <w:b/>
                <w:bCs/>
              </w:rPr>
            </w:pPr>
            <w:r w:rsidRPr="00503751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B74D9E" w14:textId="77777777" w:rsidR="00503751" w:rsidRPr="00503751" w:rsidRDefault="00503751" w:rsidP="00503751">
            <w:pPr>
              <w:rPr>
                <w:b/>
                <w:bCs/>
              </w:rPr>
            </w:pPr>
            <w:r w:rsidRPr="00503751">
              <w:rPr>
                <w:b/>
                <w:bCs/>
              </w:rPr>
              <w:t>Rationale</w:t>
            </w:r>
          </w:p>
        </w:tc>
      </w:tr>
      <w:tr w:rsidR="00503751" w:rsidRPr="00503751" w14:paraId="3CF1B565" w14:textId="77777777" w:rsidTr="00503751">
        <w:trPr>
          <w:trHeight w:val="4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F97D16" w14:textId="77777777" w:rsidR="00503751" w:rsidRPr="00503751" w:rsidRDefault="00503751" w:rsidP="00503751">
            <w:proofErr w:type="spellStart"/>
            <w:r w:rsidRPr="00503751">
              <w:t>total_value_transferred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406865" w14:textId="77777777" w:rsidR="00503751" w:rsidRPr="00503751" w:rsidRDefault="00503751" w:rsidP="00503751">
            <w:r w:rsidRPr="00503751">
              <w:t>Captures magnitude and financial engagement level.</w:t>
            </w:r>
          </w:p>
        </w:tc>
      </w:tr>
      <w:tr w:rsidR="00503751" w:rsidRPr="00503751" w14:paraId="2A51094D" w14:textId="77777777" w:rsidTr="00503751">
        <w:trPr>
          <w:trHeight w:val="4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C8C134" w14:textId="77777777" w:rsidR="00503751" w:rsidRPr="00503751" w:rsidRDefault="00503751" w:rsidP="00503751">
            <w:proofErr w:type="spellStart"/>
            <w:r w:rsidRPr="00503751">
              <w:t>avg_tx_value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A8B5BD" w14:textId="77777777" w:rsidR="00503751" w:rsidRPr="00503751" w:rsidRDefault="00503751" w:rsidP="00503751">
            <w:r w:rsidRPr="00503751">
              <w:t>Flags outliers (e.g., single large transfers vs. regular use).</w:t>
            </w:r>
          </w:p>
        </w:tc>
      </w:tr>
      <w:tr w:rsidR="00503751" w:rsidRPr="00503751" w14:paraId="47F2EE1C" w14:textId="77777777" w:rsidTr="00503751">
        <w:trPr>
          <w:trHeight w:val="4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DE8959" w14:textId="77777777" w:rsidR="00503751" w:rsidRPr="00503751" w:rsidRDefault="00503751" w:rsidP="00503751">
            <w:proofErr w:type="spellStart"/>
            <w:r w:rsidRPr="00503751">
              <w:t>max_tx_value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7BB8D" w14:textId="77777777" w:rsidR="00503751" w:rsidRPr="00503751" w:rsidRDefault="00503751" w:rsidP="00503751">
            <w:r w:rsidRPr="00503751">
              <w:t>Detects high-risk/whale activity.</w:t>
            </w:r>
          </w:p>
        </w:tc>
      </w:tr>
      <w:tr w:rsidR="00503751" w:rsidRPr="00503751" w14:paraId="2082354C" w14:textId="77777777" w:rsidTr="00503751">
        <w:trPr>
          <w:trHeight w:val="8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A58981" w14:textId="77777777" w:rsidR="00503751" w:rsidRPr="00503751" w:rsidRDefault="00503751" w:rsidP="00503751">
            <w:proofErr w:type="spellStart"/>
            <w:r w:rsidRPr="00503751">
              <w:t>tx_count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98F1D4" w14:textId="77777777" w:rsidR="00503751" w:rsidRPr="00503751" w:rsidRDefault="00503751" w:rsidP="00503751">
            <w:r w:rsidRPr="00503751">
              <w:t>Measures transaction frequency—can indicate bot/nefarious activity if anomalously high/low.</w:t>
            </w:r>
          </w:p>
        </w:tc>
      </w:tr>
      <w:tr w:rsidR="00503751" w:rsidRPr="00503751" w14:paraId="340BA86D" w14:textId="77777777" w:rsidTr="00503751">
        <w:trPr>
          <w:trHeight w:val="4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4371F0" w14:textId="77777777" w:rsidR="00503751" w:rsidRPr="00503751" w:rsidRDefault="00503751" w:rsidP="00503751">
            <w:proofErr w:type="spellStart"/>
            <w:r w:rsidRPr="00503751">
              <w:t>unique_txns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76C90C" w14:textId="77777777" w:rsidR="00503751" w:rsidRPr="00503751" w:rsidRDefault="00503751" w:rsidP="00503751">
            <w:r w:rsidRPr="00503751">
              <w:t>Helps filter duplicate or repeat transfer patterns.</w:t>
            </w:r>
          </w:p>
        </w:tc>
      </w:tr>
      <w:tr w:rsidR="00503751" w:rsidRPr="00503751" w14:paraId="7D28D417" w14:textId="77777777" w:rsidTr="00503751">
        <w:trPr>
          <w:trHeight w:val="4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4939FC" w14:textId="77777777" w:rsidR="00503751" w:rsidRPr="00503751" w:rsidRDefault="00503751" w:rsidP="00503751">
            <w:proofErr w:type="spellStart"/>
            <w:r w:rsidRPr="00503751">
              <w:t>activity_span_days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250F7" w14:textId="77777777" w:rsidR="00503751" w:rsidRPr="00503751" w:rsidRDefault="00503751" w:rsidP="00503751">
            <w:r w:rsidRPr="00503751">
              <w:t>Captures tenure; longer span may indicate legitimacy.</w:t>
            </w:r>
          </w:p>
        </w:tc>
      </w:tr>
      <w:tr w:rsidR="00503751" w:rsidRPr="00503751" w14:paraId="07952A42" w14:textId="77777777" w:rsidTr="00503751">
        <w:trPr>
          <w:trHeight w:val="4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D77AF" w14:textId="77777777" w:rsidR="00503751" w:rsidRPr="00503751" w:rsidRDefault="00503751" w:rsidP="00503751">
            <w:proofErr w:type="spellStart"/>
            <w:r w:rsidRPr="00503751">
              <w:t>tx_per_day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C53BD4" w14:textId="77777777" w:rsidR="00503751" w:rsidRPr="00503751" w:rsidRDefault="00503751" w:rsidP="00503751">
            <w:r w:rsidRPr="00503751">
              <w:t>Normalizes activity volume over wallet history.</w:t>
            </w:r>
          </w:p>
        </w:tc>
      </w:tr>
    </w:tbl>
    <w:p w14:paraId="09CF53E3" w14:textId="77777777" w:rsidR="00503751" w:rsidRDefault="00503751" w:rsidP="00503751">
      <w:r w:rsidRPr="00503751">
        <w:t xml:space="preserve">Features are engineered to capture activity, magnitude, and diversity of wallet interactions, aiming for properties that relate to both </w:t>
      </w:r>
      <w:proofErr w:type="gramStart"/>
      <w:r w:rsidRPr="00503751">
        <w:t>protocol</w:t>
      </w:r>
      <w:proofErr w:type="gramEnd"/>
      <w:r w:rsidRPr="00503751">
        <w:t xml:space="preserve"> use and typical DeFi risk markers:</w:t>
      </w:r>
    </w:p>
    <w:p w14:paraId="34C0A120" w14:textId="77777777" w:rsidR="00503751" w:rsidRDefault="00503751" w:rsidP="00503751"/>
    <w:p w14:paraId="512F403F" w14:textId="77777777" w:rsidR="00503751" w:rsidRPr="00503751" w:rsidRDefault="00503751" w:rsidP="00503751"/>
    <w:p w14:paraId="2F7028C1" w14:textId="77777777" w:rsidR="00503751" w:rsidRDefault="00503751" w:rsidP="00503751">
      <w:pPr>
        <w:rPr>
          <w:b/>
          <w:bCs/>
        </w:rPr>
      </w:pPr>
    </w:p>
    <w:p w14:paraId="1022479A" w14:textId="77777777" w:rsidR="00503751" w:rsidRDefault="00503751" w:rsidP="00503751">
      <w:pPr>
        <w:rPr>
          <w:b/>
          <w:bCs/>
        </w:rPr>
      </w:pPr>
    </w:p>
    <w:p w14:paraId="384B4042" w14:textId="7CD846D5" w:rsidR="00503751" w:rsidRPr="00503751" w:rsidRDefault="00503751" w:rsidP="00503751">
      <w:pPr>
        <w:rPr>
          <w:b/>
          <w:bCs/>
        </w:rPr>
      </w:pPr>
      <w:r w:rsidRPr="00503751">
        <w:rPr>
          <w:b/>
          <w:bCs/>
        </w:rPr>
        <w:t>Scoring Method</w:t>
      </w:r>
    </w:p>
    <w:p w14:paraId="39ECE5EA" w14:textId="77777777" w:rsidR="00503751" w:rsidRPr="00503751" w:rsidRDefault="00503751" w:rsidP="00503751">
      <w:pPr>
        <w:numPr>
          <w:ilvl w:val="0"/>
          <w:numId w:val="2"/>
        </w:numPr>
      </w:pPr>
      <w:r w:rsidRPr="00503751">
        <w:rPr>
          <w:b/>
          <w:bCs/>
        </w:rPr>
        <w:t>Feature Normalization:</w:t>
      </w:r>
      <w:r w:rsidRPr="00503751">
        <w:t> All key features are scaled using Min-Max normalization to balance scales and avoid feature dominance.</w:t>
      </w:r>
    </w:p>
    <w:p w14:paraId="503D15DA" w14:textId="77777777" w:rsidR="00503751" w:rsidRPr="00503751" w:rsidRDefault="00503751" w:rsidP="00503751">
      <w:pPr>
        <w:numPr>
          <w:ilvl w:val="0"/>
          <w:numId w:val="2"/>
        </w:numPr>
      </w:pPr>
      <w:r w:rsidRPr="00503751">
        <w:rPr>
          <w:b/>
          <w:bCs/>
        </w:rPr>
        <w:t>Clustering for Risk Proxying:</w:t>
      </w:r>
      <w:r w:rsidRPr="00503751">
        <w:t> </w:t>
      </w:r>
      <w:proofErr w:type="spellStart"/>
      <w:r w:rsidRPr="00503751">
        <w:t>KMeans</w:t>
      </w:r>
      <w:proofErr w:type="spellEnd"/>
      <w:r w:rsidRPr="00503751">
        <w:t xml:space="preserve"> clustering is leveraged (n=2, “safe” vs. “risky”), assigning proxy risk labels to the dataset. The cluster with higher values in a selected “safer” feature (e.g., average transfer or total transferred) is assigned as “safe.”</w:t>
      </w:r>
    </w:p>
    <w:p w14:paraId="527C2FD9" w14:textId="77777777" w:rsidR="00503751" w:rsidRPr="00503751" w:rsidRDefault="00503751" w:rsidP="00503751">
      <w:pPr>
        <w:numPr>
          <w:ilvl w:val="0"/>
          <w:numId w:val="2"/>
        </w:numPr>
      </w:pPr>
      <w:r w:rsidRPr="00503751">
        <w:rPr>
          <w:b/>
          <w:bCs/>
        </w:rPr>
        <w:t>Supervised Learning (Auto-Labelling):</w:t>
      </w:r>
      <w:r w:rsidRPr="00503751">
        <w:t xml:space="preserve"> A Random Forest classifier is then trained on the normalized features with the </w:t>
      </w:r>
      <w:proofErr w:type="spellStart"/>
      <w:r w:rsidRPr="00503751">
        <w:t>KMeans</w:t>
      </w:r>
      <w:proofErr w:type="spellEnd"/>
      <w:r w:rsidRPr="00503751">
        <w:t xml:space="preserve"> cluster assignments as labels, learning to predict “safe” vs. “risky” status by wallet feature patterns.</w:t>
      </w:r>
    </w:p>
    <w:p w14:paraId="01448801" w14:textId="77777777" w:rsidR="00503751" w:rsidRPr="00503751" w:rsidRDefault="00503751" w:rsidP="00503751">
      <w:pPr>
        <w:numPr>
          <w:ilvl w:val="0"/>
          <w:numId w:val="2"/>
        </w:numPr>
      </w:pPr>
      <w:r w:rsidRPr="00503751">
        <w:rPr>
          <w:b/>
          <w:bCs/>
        </w:rPr>
        <w:t>Risk Score Generation:</w:t>
      </w:r>
      <w:r w:rsidRPr="00503751">
        <w:t> Output probabilities from the “safe” class prediction are scaled to a 0–1000 range, resulting in a continuous, interpretable risk/credit score.</w:t>
      </w:r>
    </w:p>
    <w:p w14:paraId="3D223E9E" w14:textId="77777777" w:rsidR="00503751" w:rsidRPr="00503751" w:rsidRDefault="00503751" w:rsidP="00503751">
      <w:pPr>
        <w:rPr>
          <w:b/>
          <w:bCs/>
        </w:rPr>
      </w:pPr>
      <w:r w:rsidRPr="00503751">
        <w:rPr>
          <w:b/>
          <w:bCs/>
        </w:rPr>
        <w:t>Justification of Risk Indicators Used</w:t>
      </w:r>
    </w:p>
    <w:p w14:paraId="65C90C56" w14:textId="77777777" w:rsidR="00503751" w:rsidRPr="00503751" w:rsidRDefault="00503751" w:rsidP="00503751">
      <w:pPr>
        <w:numPr>
          <w:ilvl w:val="0"/>
          <w:numId w:val="3"/>
        </w:numPr>
      </w:pPr>
      <w:r w:rsidRPr="00503751">
        <w:rPr>
          <w:b/>
          <w:bCs/>
        </w:rPr>
        <w:t>Transfer Magnitude (</w:t>
      </w:r>
      <w:proofErr w:type="spellStart"/>
      <w:r w:rsidRPr="00503751">
        <w:rPr>
          <w:b/>
          <w:bCs/>
        </w:rPr>
        <w:t>total_value_transferred</w:t>
      </w:r>
      <w:proofErr w:type="spellEnd"/>
      <w:r w:rsidRPr="00503751">
        <w:rPr>
          <w:b/>
          <w:bCs/>
        </w:rPr>
        <w:t>, </w:t>
      </w:r>
      <w:proofErr w:type="spellStart"/>
      <w:r w:rsidRPr="00503751">
        <w:rPr>
          <w:b/>
          <w:bCs/>
        </w:rPr>
        <w:t>max_tx_value</w:t>
      </w:r>
      <w:proofErr w:type="spellEnd"/>
      <w:r w:rsidRPr="00503751">
        <w:rPr>
          <w:b/>
          <w:bCs/>
        </w:rPr>
        <w:t>):</w:t>
      </w:r>
      <w:r w:rsidRPr="00503751">
        <w:t> Large or highly variable values can suggest high-engagement actors, who may be less risky if active over time, but also may represent whales/bots if their activity is spiky.</w:t>
      </w:r>
    </w:p>
    <w:p w14:paraId="6CEB3BD8" w14:textId="77777777" w:rsidR="00503751" w:rsidRPr="00503751" w:rsidRDefault="00503751" w:rsidP="00503751">
      <w:pPr>
        <w:numPr>
          <w:ilvl w:val="0"/>
          <w:numId w:val="3"/>
        </w:numPr>
      </w:pPr>
      <w:r w:rsidRPr="00503751">
        <w:rPr>
          <w:b/>
          <w:bCs/>
        </w:rPr>
        <w:t>Transaction Frequency (</w:t>
      </w:r>
      <w:proofErr w:type="spellStart"/>
      <w:r w:rsidRPr="00503751">
        <w:rPr>
          <w:b/>
          <w:bCs/>
        </w:rPr>
        <w:t>tx_count</w:t>
      </w:r>
      <w:proofErr w:type="spellEnd"/>
      <w:r w:rsidRPr="00503751">
        <w:rPr>
          <w:b/>
          <w:bCs/>
        </w:rPr>
        <w:t>, </w:t>
      </w:r>
      <w:proofErr w:type="spellStart"/>
      <w:r w:rsidRPr="00503751">
        <w:rPr>
          <w:b/>
          <w:bCs/>
        </w:rPr>
        <w:t>tx_per_day</w:t>
      </w:r>
      <w:proofErr w:type="spellEnd"/>
      <w:r w:rsidRPr="00503751">
        <w:rPr>
          <w:b/>
          <w:bCs/>
        </w:rPr>
        <w:t>):</w:t>
      </w:r>
      <w:r w:rsidRPr="00503751">
        <w:t> High-frequency, short-burst activity can sometimes indicate bot usage or Sybil attacks, while steady, long-term patterns are signals of authentic protocol use.</w:t>
      </w:r>
    </w:p>
    <w:p w14:paraId="1763D04C" w14:textId="77777777" w:rsidR="00503751" w:rsidRPr="00503751" w:rsidRDefault="00503751" w:rsidP="00503751">
      <w:pPr>
        <w:numPr>
          <w:ilvl w:val="0"/>
          <w:numId w:val="3"/>
        </w:numPr>
      </w:pPr>
      <w:r w:rsidRPr="00503751">
        <w:rPr>
          <w:b/>
          <w:bCs/>
        </w:rPr>
        <w:t>Wallet Tenure and Diversity (</w:t>
      </w:r>
      <w:proofErr w:type="spellStart"/>
      <w:r w:rsidRPr="00503751">
        <w:rPr>
          <w:b/>
          <w:bCs/>
        </w:rPr>
        <w:t>activity_span_days</w:t>
      </w:r>
      <w:proofErr w:type="spellEnd"/>
      <w:r w:rsidRPr="00503751">
        <w:rPr>
          <w:b/>
          <w:bCs/>
        </w:rPr>
        <w:t>, </w:t>
      </w:r>
      <w:proofErr w:type="spellStart"/>
      <w:r w:rsidRPr="00503751">
        <w:rPr>
          <w:b/>
          <w:bCs/>
        </w:rPr>
        <w:t>unique_txns</w:t>
      </w:r>
      <w:proofErr w:type="spellEnd"/>
      <w:r w:rsidRPr="00503751">
        <w:rPr>
          <w:b/>
          <w:bCs/>
        </w:rPr>
        <w:t>):</w:t>
      </w:r>
      <w:r w:rsidRPr="00503751">
        <w:t> Wallets active over longer periods and with a diversity of transactions are typically less likely to be newly spun up for attack or manipulation.</w:t>
      </w:r>
    </w:p>
    <w:p w14:paraId="6B3AACC7" w14:textId="77777777" w:rsidR="00503751" w:rsidRPr="00503751" w:rsidRDefault="00503751" w:rsidP="00503751">
      <w:pPr>
        <w:rPr>
          <w:b/>
          <w:bCs/>
        </w:rPr>
      </w:pPr>
      <w:r w:rsidRPr="00503751">
        <w:rPr>
          <w:b/>
          <w:bCs/>
        </w:rPr>
        <w:t>Approach Clarity, Justification, and Scalability</w:t>
      </w:r>
    </w:p>
    <w:p w14:paraId="45033ED6" w14:textId="77777777" w:rsidR="00503751" w:rsidRPr="00503751" w:rsidRDefault="00503751" w:rsidP="00503751">
      <w:pPr>
        <w:numPr>
          <w:ilvl w:val="0"/>
          <w:numId w:val="4"/>
        </w:numPr>
      </w:pPr>
      <w:r w:rsidRPr="00503751">
        <w:rPr>
          <w:b/>
          <w:bCs/>
        </w:rPr>
        <w:t>Clear Logic Chain:</w:t>
      </w:r>
      <w:r w:rsidRPr="00503751">
        <w:t> Features are directly tied to observable patterns in on-chain DeFi risk and utility. Risk scoring uses a fully explainable pipeline: on-chain extraction → feature engineering → unsupervised label assignment → probability-based scoring.</w:t>
      </w:r>
    </w:p>
    <w:p w14:paraId="288E6AFD" w14:textId="77777777" w:rsidR="00503751" w:rsidRPr="00503751" w:rsidRDefault="00503751" w:rsidP="00503751">
      <w:pPr>
        <w:numPr>
          <w:ilvl w:val="0"/>
          <w:numId w:val="4"/>
        </w:numPr>
      </w:pPr>
      <w:r w:rsidRPr="00503751">
        <w:rPr>
          <w:b/>
          <w:bCs/>
        </w:rPr>
        <w:t xml:space="preserve">Automated </w:t>
      </w:r>
      <w:proofErr w:type="spellStart"/>
      <w:r w:rsidRPr="00503751">
        <w:rPr>
          <w:b/>
          <w:bCs/>
        </w:rPr>
        <w:t>Labeling</w:t>
      </w:r>
      <w:proofErr w:type="spellEnd"/>
      <w:r w:rsidRPr="00503751">
        <w:rPr>
          <w:b/>
          <w:bCs/>
        </w:rPr>
        <w:t>:</w:t>
      </w:r>
      <w:r w:rsidRPr="00503751">
        <w:t xml:space="preserve"> No manual </w:t>
      </w:r>
      <w:proofErr w:type="spellStart"/>
      <w:r w:rsidRPr="00503751">
        <w:t>labeling</w:t>
      </w:r>
      <w:proofErr w:type="spellEnd"/>
      <w:r w:rsidRPr="00503751">
        <w:t xml:space="preserve"> is required, making the pipeline scalable to any size of address/tokens list.</w:t>
      </w:r>
    </w:p>
    <w:p w14:paraId="7AAB3E2E" w14:textId="77777777" w:rsidR="00503751" w:rsidRPr="00503751" w:rsidRDefault="00503751" w:rsidP="00503751">
      <w:pPr>
        <w:numPr>
          <w:ilvl w:val="0"/>
          <w:numId w:val="4"/>
        </w:numPr>
      </w:pPr>
      <w:r w:rsidRPr="00503751">
        <w:rPr>
          <w:b/>
          <w:bCs/>
        </w:rPr>
        <w:t>Extensibility:</w:t>
      </w:r>
      <w:r w:rsidRPr="00503751">
        <w:t xml:space="preserve"> The workflow can be expanded with more features (e.g., protocol-specific actions, peer wallet </w:t>
      </w:r>
      <w:proofErr w:type="spellStart"/>
      <w:r w:rsidRPr="00503751">
        <w:t>behavior</w:t>
      </w:r>
      <w:proofErr w:type="spellEnd"/>
      <w:r w:rsidRPr="00503751">
        <w:t xml:space="preserve"> metrics) or adapted to other DeFi protocols by altering the </w:t>
      </w:r>
      <w:proofErr w:type="spellStart"/>
      <w:r w:rsidRPr="00503751">
        <w:t>cToken</w:t>
      </w:r>
      <w:proofErr w:type="spellEnd"/>
      <w:r w:rsidRPr="00503751">
        <w:t xml:space="preserve"> list.</w:t>
      </w:r>
    </w:p>
    <w:p w14:paraId="167D557D" w14:textId="77777777" w:rsidR="00503751" w:rsidRPr="00503751" w:rsidRDefault="00503751" w:rsidP="00503751">
      <w:pPr>
        <w:numPr>
          <w:ilvl w:val="0"/>
          <w:numId w:val="4"/>
        </w:numPr>
      </w:pPr>
      <w:r w:rsidRPr="00503751">
        <w:rPr>
          <w:b/>
          <w:bCs/>
        </w:rPr>
        <w:lastRenderedPageBreak/>
        <w:t>Compatibility:</w:t>
      </w:r>
      <w:r w:rsidRPr="00503751">
        <w:t> Runs entirely on open-source tools and public APIs; relies on deterministic processing and is suitable for batch or periodic risk scoring in institutional or research settings.</w:t>
      </w:r>
    </w:p>
    <w:p w14:paraId="1052251D" w14:textId="77777777" w:rsidR="007B2BBB" w:rsidRDefault="007B2BBB"/>
    <w:sectPr w:rsidR="007B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10BCF"/>
    <w:multiLevelType w:val="multilevel"/>
    <w:tmpl w:val="8A3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5952B3"/>
    <w:multiLevelType w:val="multilevel"/>
    <w:tmpl w:val="C5B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0B79C0"/>
    <w:multiLevelType w:val="multilevel"/>
    <w:tmpl w:val="FAA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FE2ED6"/>
    <w:multiLevelType w:val="multilevel"/>
    <w:tmpl w:val="FCA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881383">
    <w:abstractNumId w:val="0"/>
  </w:num>
  <w:num w:numId="2" w16cid:durableId="104037633">
    <w:abstractNumId w:val="3"/>
  </w:num>
  <w:num w:numId="3" w16cid:durableId="933050946">
    <w:abstractNumId w:val="2"/>
  </w:num>
  <w:num w:numId="4" w16cid:durableId="54021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51"/>
    <w:rsid w:val="00006DA9"/>
    <w:rsid w:val="00067518"/>
    <w:rsid w:val="00503751"/>
    <w:rsid w:val="00716FF6"/>
    <w:rsid w:val="007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865A"/>
  <w15:chartTrackingRefBased/>
  <w15:docId w15:val="{468FC786-C5B3-4824-8737-78C5C71E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7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Kumar Maurya</dc:creator>
  <cp:keywords/>
  <dc:description/>
  <cp:lastModifiedBy>Anjani Kumar Maurya</cp:lastModifiedBy>
  <cp:revision>1</cp:revision>
  <dcterms:created xsi:type="dcterms:W3CDTF">2025-07-25T09:18:00Z</dcterms:created>
  <dcterms:modified xsi:type="dcterms:W3CDTF">2025-07-25T09:20:00Z</dcterms:modified>
</cp:coreProperties>
</file>