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3E1C00" w:val="clear"/>
            <w:tcMar>
              <w:top w:type="dxa" w:w="420"/>
              <w:left w:type="dxa" w:w="580"/>
              <w:bottom w:type="dxa" w:w="320"/>
              <w:right w:type="dxa" w:w="58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DIANA FOSTER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FF8F00"/>
                <w:sz w:val="24"/>
                <w:szCs w:val="24"/>
              </w:rPr>
              <w:t xml:space="preserve">Principal Cloud Architect  |  AWS / Azure / GCP  |  Enterprise Architecture  |  FinOps</w:t>
            </w:r>
          </w:p>
          <w:p>
            <w:pPr>
              <w:pBdr>
                <w:top w:val="single" w:color="FF8F00" w:sz="6" w:space="6"/>
              </w:pBdr>
              <w:spacing w:before="60" w:after="0"/>
            </w:pP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diana.foster@cloudarch.io</w:t>
            </w: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   •   (469) 558-2273</w:t>
            </w: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   •   Dallas, TX</w:t>
            </w:r>
            <w:r>
              <w:rPr>
                <w:rFonts w:ascii="Calibri" w:cs="Calibri" w:eastAsia="Calibri" w:hAnsi="Calibri"/>
                <w:color w:val="FF8F00"/>
                <w:sz w:val="19"/>
                <w:szCs w:val="19"/>
              </w:rPr>
              <w:t xml:space="preserve">   •   linkedin.com/in/dianafoster-cloud</w:t>
            </w:r>
          </w:p>
        </w:tc>
      </w:tr>
    </w:tbl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3E1C00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8F00"/>
                <w:sz w:val="34"/>
                <w:szCs w:val="34"/>
              </w:rPr>
              <w:t xml:space="preserve">15+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Years Cloud Arch.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3E1C00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8F00"/>
                <w:sz w:val="34"/>
                <w:szCs w:val="34"/>
              </w:rPr>
              <w:t xml:space="preserve">200+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Cloud Migrations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3E1C00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8F00"/>
                <w:sz w:val="34"/>
                <w:szCs w:val="34"/>
              </w:rPr>
              <w:t xml:space="preserve">$20M+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Cost Savings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3E1C00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8F00"/>
                <w:sz w:val="34"/>
                <w:szCs w:val="34"/>
              </w:rPr>
              <w:t xml:space="preserve">11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Certifications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3E1C00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8F00"/>
                <w:sz w:val="34"/>
                <w:szCs w:val="34"/>
              </w:rPr>
              <w:t xml:space="preserve">99.999%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Uptime Delivered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3E1C00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8F00"/>
                <w:sz w:val="34"/>
                <w:szCs w:val="34"/>
              </w:rPr>
              <w:t xml:space="preserve">Fortune 50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Clients Served</w:t>
            </w:r>
          </w:p>
        </w:tc>
      </w:tr>
    </w:tbl>
    <w:p>
      <w:pPr>
        <w:spacing w:before="3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3E1C00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pBdr>
                <w:bottom w:val="single" w:color="FF8F00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E0B2"/>
                <w:sz w:val="19"/>
                <w:szCs w:val="19"/>
              </w:rPr>
              <w:t xml:space="preserve">Cloud Platforms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AWS – 10+ years (Expert)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Azure – 8+ years (Expert)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GCP – 5+ years (Advanced)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Multi-Cloud / Hybrid</w:t>
            </w:r>
          </w:p>
          <w:p>
            <w:pPr>
              <w:pBdr>
                <w:bottom w:val="single" w:color="FF8F00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E0B2"/>
                <w:sz w:val="19"/>
                <w:szCs w:val="19"/>
              </w:rPr>
              <w:t xml:space="preserve">Architecture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Enterprise Architecture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Well-Architected Framework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Cloud Migration (7Rs)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Landing Zone Design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FinOps / Cost Optimization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Disaster Recovery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Zero-Trust Security</w:t>
            </w:r>
          </w:p>
          <w:p>
            <w:pPr>
              <w:pBdr>
                <w:bottom w:val="single" w:color="FF8F00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E0B2"/>
                <w:sz w:val="19"/>
                <w:szCs w:val="19"/>
              </w:rPr>
              <w:t xml:space="preserve">IaC &amp; DevOps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Terraform / Pulumi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AWS CDK / CloudFormation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Azure Bicep / ARM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Kubernetes / Helm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GitOps / CI/CD</w:t>
            </w:r>
          </w:p>
          <w:p>
            <w:pPr>
              <w:pBdr>
                <w:bottom w:val="single" w:color="FF8F00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E0B2"/>
                <w:sz w:val="19"/>
                <w:szCs w:val="19"/>
              </w:rPr>
              <w:t xml:space="preserve">Certifications (11)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8F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AWS Solutions Architect Pro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pBdr>
                <w:bottom w:val="single" w:color="FF8F00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2C1400"/>
                <w:sz w:val="25"/>
                <w:szCs w:val="25"/>
              </w:rPr>
              <w:t xml:space="preserve">Professional Summary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2C1400"/>
                <w:sz w:val="19"/>
                <w:szCs w:val="19"/>
              </w:rPr>
              <w:t xml:space="preserve">Principal Cloud Architect with 15+ years designing and delivering enterprise-scale cloud transformations for Fortune 50 organizations across financial services, healthcare, and energy sectors. Holder of 11 cloud certifications spanning AWS, Azure, GCP, and TOGAF. Recognized expert in multi-cloud architecture, FinOps, and large-scale cloud migration programs. Track record of $20M+ cumulative cost savings, 200+ successful cloud migrations, and consistently achieving 99.999% uptime SLAs for mission-critical workloads at ExxonMobil, JPMorgan Chase, and Deloitte.</w:t>
            </w:r>
          </w:p>
          <w:p>
            <w:pPr>
              <w:pBdr>
                <w:bottom w:val="single" w:color="FF8F00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2C1400"/>
                <w:sz w:val="25"/>
                <w:szCs w:val="25"/>
              </w:rPr>
              <w:t xml:space="preserve">Core Competencies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3E0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400"/>
                      <w:sz w:val="17"/>
                      <w:szCs w:val="17"/>
                    </w:rPr>
                    <w:t xml:space="preserve">▸ Enterprise Cloud Architecture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3E0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400"/>
                      <w:sz w:val="17"/>
                      <w:szCs w:val="17"/>
                    </w:rPr>
                    <w:t xml:space="preserve">▸ Multi-Cloud Strategy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FF3E0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400"/>
                      <w:sz w:val="17"/>
                      <w:szCs w:val="17"/>
                    </w:rPr>
                    <w:t xml:space="preserve">▸ AWS / Azure / GCP Expert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3E0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400"/>
                      <w:sz w:val="17"/>
                      <w:szCs w:val="17"/>
                    </w:rPr>
                    <w:t xml:space="preserve">▸ Cloud Migration (7Rs)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3E0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400"/>
                      <w:sz w:val="17"/>
                      <w:szCs w:val="17"/>
                    </w:rPr>
                    <w:t xml:space="preserve">▸ FinOps / Cost Optimization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FF3E0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400"/>
                      <w:sz w:val="17"/>
                      <w:szCs w:val="17"/>
                    </w:rPr>
                    <w:t xml:space="preserve">▸ Terraform / Pulumi IaC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3E0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400"/>
                      <w:sz w:val="17"/>
                      <w:szCs w:val="17"/>
                    </w:rPr>
                    <w:t xml:space="preserve">▸ Landing Zone Design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3E0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400"/>
                      <w:sz w:val="17"/>
                      <w:szCs w:val="17"/>
                    </w:rPr>
                    <w:t xml:space="preserve">▸ Zero-Trust Security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FF3E0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400"/>
                      <w:sz w:val="17"/>
                      <w:szCs w:val="17"/>
                    </w:rPr>
                    <w:t xml:space="preserve">▸ Kubernetes / EKS / AKS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3E0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400"/>
                      <w:sz w:val="17"/>
                      <w:szCs w:val="17"/>
                    </w:rPr>
                    <w:t xml:space="preserve">▸ Disaster Recovery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3E0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400"/>
                      <w:sz w:val="17"/>
                      <w:szCs w:val="17"/>
                    </w:rPr>
                    <w:t xml:space="preserve">▸ TOGAF Architecture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FF3E0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400"/>
                      <w:sz w:val="17"/>
                      <w:szCs w:val="17"/>
                    </w:rPr>
                    <w:t xml:space="preserve">▸ Well-Architected Reviews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3E0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400"/>
                      <w:sz w:val="17"/>
                      <w:szCs w:val="17"/>
                    </w:rPr>
                    <w:t xml:space="preserve">▸ CI/CD GitOps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3E0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400"/>
                      <w:sz w:val="17"/>
                      <w:szCs w:val="17"/>
                    </w:rPr>
                    <w:t xml:space="preserve">▸ Networking / VPC Design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FF3E0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400"/>
                      <w:sz w:val="17"/>
                      <w:szCs w:val="17"/>
                    </w:rPr>
                    <w:t xml:space="preserve">▸ Database Migration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3E0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400"/>
                      <w:sz w:val="17"/>
                      <w:szCs w:val="17"/>
                    </w:rPr>
                    <w:t xml:space="preserve">▸ Compliance HIPAA/PCI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3E0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400"/>
                      <w:sz w:val="17"/>
                      <w:szCs w:val="17"/>
                    </w:rPr>
                    <w:t xml:space="preserve">▸ Cloud Governance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FF3E0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400"/>
                      <w:sz w:val="17"/>
                      <w:szCs w:val="17"/>
                    </w:rPr>
                    <w:t xml:space="preserve">▸ Executive Consulting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bottom w:val="single" w:color="FF8F00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2C1400"/>
                <w:sz w:val="25"/>
                <w:szCs w:val="25"/>
              </w:rPr>
              <w:t xml:space="preserve">Professional Experience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2C1400"/>
                <w:sz w:val="21"/>
                <w:szCs w:val="21"/>
              </w:rPr>
              <w:t xml:space="preserve">Principal Cloud Architect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FF8F00"/>
                <w:sz w:val="21"/>
                <w:szCs w:val="21"/>
              </w:rPr>
              <w:t xml:space="preserve">Deloitte Consulting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January 2018 – Present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Dallas, TX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Deloitte Cloud Engineering practice. Led enterprise cloud architecture engagements for Fortune 50 clients across energy, financial services, and healthcare verticals.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FF8F00"/>
                <w:sz w:val="19"/>
                <w:szCs w:val="19"/>
              </w:rPr>
              <w:t xml:space="preserve">$12M savings: </w:t>
            </w:r>
            <w:r>
              <w:rPr>
                <w:rFonts w:ascii="Calibri" w:cs="Calibri" w:eastAsia="Calibri" w:hAnsi="Calibri"/>
                <w:color w:val="2C1400"/>
                <w:sz w:val="19"/>
                <w:szCs w:val="19"/>
              </w:rPr>
              <w:t xml:space="preserve">Designed AWS multi-account landing zone for ExxonMobil (50,000 employees); completed 18-month cloud migration of 2,000+ workloads on time and 8% under budget delivering $12M annual infrastructure savings.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400"/>
                <w:sz w:val="19"/>
                <w:szCs w:val="19"/>
              </w:rPr>
              <w:t xml:space="preserve">Architected hybrid multi-cloud strategy for JPMorgan Chase investment banking platform; designed AWS Direct Connect + Azure ExpressRoute topology achieving 99.999% availability for trading systems.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400"/>
                <w:sz w:val="19"/>
                <w:szCs w:val="19"/>
              </w:rPr>
              <w:t xml:space="preserve">Led cloud governance framework design for 3 Fortune 100 clients implementing AWS Control Tower, Azure Policy, and GCP Organization Constraints with automated compliance reporting.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400"/>
                <w:sz w:val="19"/>
                <w:szCs w:val="19"/>
              </w:rPr>
              <w:t xml:space="preserve">Delivered 15+ AWS Well-Architected Framework reviews identifying $8M+ aggregate cost savings and 60+ high-risk security findings requiring immediate remediation across client portfolio.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400"/>
                <w:sz w:val="19"/>
                <w:szCs w:val="19"/>
              </w:rPr>
              <w:t xml:space="preserve">Built FinOps Center of Excellence for 5 enterprise clients; established cost allocation taxonomy, chargeback models, and engineering unit economics dashboards saving average 28% of cloud spend.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400"/>
                <w:sz w:val="19"/>
                <w:szCs w:val="19"/>
              </w:rPr>
              <w:t xml:space="preserve">Mentored 12 junior cloud architects to AWS and Azure certifications; designed 40-hour cloud architecture bootcamp adopted as standard Deloitte cloud onboarding curriculum.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2C1400"/>
                <w:sz w:val="21"/>
                <w:szCs w:val="21"/>
              </w:rPr>
              <w:t xml:space="preserve">Senior Cloud Architect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FF8F00"/>
                <w:sz w:val="21"/>
                <w:szCs w:val="21"/>
              </w:rPr>
              <w:t xml:space="preserve">Microsoft Azure Consulting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March 2013 – December 2017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Redmond, WA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Microsoft FastTrack for Azure team. Led enterprise cloud adoption engagements for top 100 Azure customers globally.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400"/>
                <w:sz w:val="19"/>
                <w:szCs w:val="19"/>
              </w:rPr>
              <w:t xml:space="preserve">Architected Azure enterprise landing zones for 30+ Fortune 500 customers; designed hub-spoke network topology, Azure Policy guardrails, and Azure AD identity federation for 10,000+ user organizations.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FF8F00"/>
                <w:sz w:val="19"/>
                <w:szCs w:val="19"/>
              </w:rPr>
              <w:t xml:space="preserve">$5M saved: </w:t>
            </w:r>
            <w:r>
              <w:rPr>
                <w:rFonts w:ascii="Calibri" w:cs="Calibri" w:eastAsia="Calibri" w:hAnsi="Calibri"/>
                <w:color w:val="2C1400"/>
                <w:sz w:val="19"/>
                <w:szCs w:val="19"/>
              </w:rPr>
              <w:t xml:space="preserve">Designed Azure Reserved Instance and Savings Plans strategy for 8 enterprise clients; delivered $5M aggregate annual savings versus on-demand pricing across $40M Azure annual spend.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400"/>
                <w:sz w:val="19"/>
                <w:szCs w:val="19"/>
              </w:rPr>
              <w:t xml:space="preserve">Led SAP on Azure migration for 3 global manufacturing customers; completed 18-24 month programs with zero unplanned downtime achieving HANA in-memory performance improvements of 60%.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2C1400"/>
                <w:sz w:val="21"/>
                <w:szCs w:val="21"/>
              </w:rPr>
              <w:t xml:space="preserve">Cloud / Infrastructure Architect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FF8F00"/>
                <w:sz w:val="21"/>
                <w:szCs w:val="21"/>
              </w:rPr>
              <w:t xml:space="preserve">AT&amp;T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June 2009 – February 2013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Dallas, TX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400"/>
                <w:sz w:val="19"/>
                <w:szCs w:val="19"/>
              </w:rPr>
              <w:t xml:space="preserve">Designed AT&amp;T's first private cloud platform on VMware vCloud Director serving 5,000+ VMs; implemented self-service provisioning portal reducing VM provisioning from 2 weeks to 4 hours.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400"/>
                <w:sz w:val="19"/>
                <w:szCs w:val="19"/>
              </w:rPr>
              <w:t xml:space="preserve">Led network virtualization initiative using Cisco ACI and NSX; migrated 200+ application VLANs to software-defined networking improving network agility and reducing manual changes by 90%.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2C1400"/>
                <w:sz w:val="21"/>
                <w:szCs w:val="21"/>
              </w:rPr>
              <w:t xml:space="preserve">Systems Architect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FF8F00"/>
                <w:sz w:val="21"/>
                <w:szCs w:val="21"/>
              </w:rPr>
              <w:t xml:space="preserve">Dell Technologies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August 2007 – May 2009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Round Rock, TX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400"/>
                <w:sz w:val="19"/>
                <w:szCs w:val="19"/>
              </w:rPr>
              <w:t xml:space="preserve">Designed Dell enterprise storage and virtualization solutions for healthcare and financial services customers; led 30+ infrastructure architecture engagements generating $15M in hardware/services revenue.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3E1C00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8F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AWS DevOps Professional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8F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AWS Security Specialty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8F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AWS Advanced Networking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8F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Azure Solutions Architect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8F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Azure DevOps Expert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8F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GCP Professional Architect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8F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TOGAF 9.2 Certified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8F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CISSP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8F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Terraform Associate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8F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CKA Kubernetes Admin</w:t>
            </w:r>
          </w:p>
          <w:p>
            <w:pPr>
              <w:pBdr>
                <w:bottom w:val="single" w:color="FF8F00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E0B2"/>
                <w:sz w:val="19"/>
                <w:szCs w:val="19"/>
              </w:rPr>
              <w:t xml:space="preserve">Education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8F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M.S. Computer Science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Georgia Tech | 2009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8F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B.S. Electrical Engineering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Texas A&amp;M | 2007</w:t>
            </w:r>
          </w:p>
          <w:p>
            <w:pPr>
              <w:pBdr>
                <w:bottom w:val="single" w:color="FF8F00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E0B2"/>
                <w:sz w:val="19"/>
                <w:szCs w:val="19"/>
              </w:rPr>
              <w:t xml:space="preserve">Languages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8F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English – Native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8F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French – Professional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2C1400"/>
                <w:sz w:val="21"/>
                <w:szCs w:val="21"/>
              </w:rPr>
              <w:t xml:space="preserve">Cloud / Infrastructure Architect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FF8F00"/>
                <w:sz w:val="21"/>
                <w:szCs w:val="21"/>
              </w:rPr>
              <w:t xml:space="preserve">AT&amp;T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June 2009 – February 2013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Dallas, TX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400"/>
                <w:sz w:val="19"/>
                <w:szCs w:val="19"/>
              </w:rPr>
              <w:t xml:space="preserve">Designed AT&amp;T's first private cloud platform on VMware vCloud Director serving 5,000+ VMs; implemented self-service provisioning portal reducing VM provisioning from 2 weeks to 4 hours.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400"/>
                <w:sz w:val="19"/>
                <w:szCs w:val="19"/>
              </w:rPr>
              <w:t xml:space="preserve">Led network virtualization initiative using Cisco ACI and NSX; migrated 200+ application VLANs to software-defined networking improving network agility and reducing manual changes by 90%.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2C1400"/>
                <w:sz w:val="21"/>
                <w:szCs w:val="21"/>
              </w:rPr>
              <w:t xml:space="preserve">Systems Architect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FF8F00"/>
                <w:sz w:val="21"/>
                <w:szCs w:val="21"/>
              </w:rPr>
              <w:t xml:space="preserve">Dell Technologies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August 2007 – May 2009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Round Rock, TX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400"/>
                <w:sz w:val="19"/>
                <w:szCs w:val="19"/>
              </w:rPr>
              <w:t xml:space="preserve">Designed Dell enterprise storage and virtualization solutions for healthcare and financial services customers; led 30+ infrastructure architecture engagements generating $15M in hardware/services revenue.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3E1C00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pBdr>
                <w:bottom w:val="single" w:color="FF8F00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E0B2"/>
                <w:sz w:val="19"/>
                <w:szCs w:val="19"/>
              </w:rPr>
              <w:t xml:space="preserve">Awards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8F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Deloitte Technology Excellence Award 2022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8F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Microsoft Partner of the Year 2015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8F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AWS APN Premier Partner Recognition 2020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8F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TOGAF Practitioner Award 2019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8F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Georgia Tech Outstanding Alumni 2021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pBdr>
                <w:bottom w:val="single" w:color="FF8F00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2C1400"/>
                <w:sz w:val="25"/>
                <w:szCs w:val="25"/>
              </w:rPr>
              <w:t xml:space="preserve">Key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FF8F00"/>
                <w:sz w:val="19"/>
                <w:szCs w:val="19"/>
              </w:rPr>
              <w:t xml:space="preserve">ExxonMobil Cloud Migration (2019-2021): </w:t>
            </w:r>
            <w:r>
              <w:rPr>
                <w:rFonts w:ascii="Calibri" w:cs="Calibri" w:eastAsia="Calibri" w:hAnsi="Calibri"/>
                <w:color w:val="2C1400"/>
                <w:sz w:val="19"/>
                <w:szCs w:val="19"/>
              </w:rPr>
              <w:t xml:space="preserve">Led 18-month program migrating 2,000+ workloads across 50,000-employee organization to AWS; delivered on time, 8% under $50M budget, with $12M annual savings and zero unplanned downtime.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FF8F00"/>
                <w:sz w:val="19"/>
                <w:szCs w:val="19"/>
              </w:rPr>
              <w:t xml:space="preserve">JPMorgan Multi-Cloud Trading Platform (2022): </w:t>
            </w:r>
            <w:r>
              <w:rPr>
                <w:rFonts w:ascii="Calibri" w:cs="Calibri" w:eastAsia="Calibri" w:hAnsi="Calibri"/>
                <w:color w:val="2C1400"/>
                <w:sz w:val="19"/>
                <w:szCs w:val="19"/>
              </w:rPr>
              <w:t xml:space="preserve">Architected hybrid AWS + Azure trading platform with 99.999% availability SLA; direct connect + express route topology processing $500B+ daily trading volume.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FF8F00"/>
                <w:sz w:val="19"/>
                <w:szCs w:val="19"/>
              </w:rPr>
              <w:t xml:space="preserve">FinOps CoE Program (Deloitte 2020): </w:t>
            </w:r>
            <w:r>
              <w:rPr>
                <w:rFonts w:ascii="Calibri" w:cs="Calibri" w:eastAsia="Calibri" w:hAnsi="Calibri"/>
                <w:color w:val="2C1400"/>
                <w:sz w:val="19"/>
                <w:szCs w:val="19"/>
              </w:rPr>
              <w:t xml:space="preserve">Built FinOps Center of Excellence methodology adopted by 5 enterprise clients; established cost taxonomies and engineering unit economics delivering average 28% cloud cost reduction.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FF8F00"/>
                <w:sz w:val="19"/>
                <w:szCs w:val="19"/>
              </w:rPr>
              <w:t xml:space="preserve">SAP on Azure Migration (Microsoft 2016): </w:t>
            </w:r>
            <w:r>
              <w:rPr>
                <w:rFonts w:ascii="Calibri" w:cs="Calibri" w:eastAsia="Calibri" w:hAnsi="Calibri"/>
                <w:color w:val="2C1400"/>
                <w:sz w:val="19"/>
                <w:szCs w:val="19"/>
              </w:rPr>
              <w:t xml:space="preserve">Led SAP S/4HANA migration to Azure for 3 global manufacturers; achieved 60% HANA performance improvement and 35% TCO reduction versus on-premises infrastructure.</w:t>
            </w:r>
          </w:p>
          <w:p>
            <w:pPr>
              <w:pBdr>
                <w:bottom w:val="single" w:color="FF8F00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2C1400"/>
                <w:sz w:val="25"/>
                <w:szCs w:val="25"/>
              </w:rPr>
              <w:t xml:space="preserve">References</w:t>
            </w:r>
          </w:p>
          <w:p>
            <w:pPr>
              <w:spacing w:before="60" w:after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Professional references available upon request.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top w:val="single" w:color="FF8F00" w:sz="8" w:space="8"/>
              </w:pBdr>
              <w:spacing w:before="12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Diana Foster  •  diana.foster@cloudarch.io  •  (469) 558-2273</w:t>
            </w:r>
          </w:p>
        </w:tc>
      </w:tr>
    </w:tbl>
    <w:sectPr>
      <w:pgSz w:w="12240" w:h="15840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40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2026-03-13T10:16:23.116Z</dcterms:created>
  <dcterms:modified xsi:type="dcterms:W3CDTF">2026-03-13T10:16:23.116Z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