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left w:val="none"/>
          <w:bottom w:val="none"/>
          <w:right w:val="none"/>
          <w:insideH w:val="single" w:color="auto" w:sz="4"/>
          <w:insideV w:val="single" w:color="auto" w:sz="4"/>
        </w:tblBorders>
      </w:tblPr>
      <w:tblGrid>
        <w:gridCol w:w="12240"/>
      </w:tblGrid>
      <w:tr>
        <w:tc>
          <w:tcPr>
            <w:tcW w:type="dxa" w:w="12240"/>
            <w:tcBorders>
              <w:top w:val="none"/>
              <w:left w:val="none"/>
              <w:bottom w:val="none"/>
              <w:right w:val="none"/>
            </w:tcBorders>
            <w:shd w:fill="1A2E3D" w:val="clear"/>
            <w:tcMar>
              <w:top w:type="dxa" w:w="420"/>
              <w:left w:type="dxa" w:w="580"/>
              <w:bottom w:type="dxa" w:w="320"/>
              <w:right w:type="dxa" w:w="580"/>
            </w:tcMar>
          </w:tcPr>
          <w:p>
            <w:pPr>
              <w:spacing w:before="0" w:after="20"/>
            </w:pPr>
            <w:r>
              <w:rPr>
                <w:rFonts w:ascii="Calibri" w:cs="Calibri" w:eastAsia="Calibri" w:hAnsi="Calibri"/>
                <w:b/>
                <w:bCs/>
                <w:color w:val="FFFFFF"/>
                <w:sz w:val="64"/>
                <w:szCs w:val="64"/>
              </w:rPr>
              <w:t xml:space="preserve">MORGAN LEE</w:t>
            </w:r>
          </w:p>
          <w:p>
            <w:pPr>
              <w:spacing w:before="0" w:after="80"/>
            </w:pPr>
            <w:r>
              <w:rPr>
                <w:rFonts w:ascii="Calibri" w:cs="Calibri" w:eastAsia="Calibri" w:hAnsi="Calibri"/>
                <w:color w:val="4ECDC4"/>
                <w:sz w:val="24"/>
                <w:szCs w:val="24"/>
              </w:rPr>
              <w:t xml:space="preserve">Senior Business Analyst  |  Process Excellence  |  Data Analytics  |  Enterprise Systems</w:t>
            </w:r>
          </w:p>
          <w:p>
            <w:pPr>
              <w:pBdr>
                <w:top w:val="single" w:color="4ECDC4" w:sz="6" w:space="6"/>
              </w:pBdr>
              <w:spacing w:before="60" w:after="0"/>
            </w:pPr>
            <w:r>
              <w:rPr>
                <w:rFonts w:ascii="Calibri" w:cs="Calibri" w:eastAsia="Calibri" w:hAnsi="Calibri"/>
                <w:color w:val="C8DCE8"/>
                <w:sz w:val="19"/>
                <w:szCs w:val="19"/>
              </w:rPr>
              <w:t xml:space="preserve">morgan.lee@bizanalyst.pro</w:t>
            </w:r>
            <w:r>
              <w:rPr>
                <w:rFonts w:ascii="Calibri" w:cs="Calibri" w:eastAsia="Calibri" w:hAnsi="Calibri"/>
                <w:color w:val="C8DCE8"/>
                <w:sz w:val="19"/>
                <w:szCs w:val="19"/>
              </w:rPr>
              <w:t xml:space="preserve">   •   (312) 774-6630</w:t>
            </w:r>
            <w:r>
              <w:rPr>
                <w:rFonts w:ascii="Calibri" w:cs="Calibri" w:eastAsia="Calibri" w:hAnsi="Calibri"/>
                <w:color w:val="C8DCE8"/>
                <w:sz w:val="19"/>
                <w:szCs w:val="19"/>
              </w:rPr>
              <w:t xml:space="preserve">   •   Chicago, IL</w:t>
            </w:r>
            <w:r>
              <w:rPr>
                <w:rFonts w:ascii="Calibri" w:cs="Calibri" w:eastAsia="Calibri" w:hAnsi="Calibri"/>
                <w:color w:val="4ECDC4"/>
                <w:sz w:val="19"/>
                <w:szCs w:val="19"/>
              </w:rPr>
              <w:t xml:space="preserve">   •   linkedin.com/in/morganlee-ba</w:t>
            </w:r>
          </w:p>
        </w:tc>
      </w:tr>
    </w:tbl>
    <w:tbl>
      <w:tblPr>
        <w:tblW w:type="dxa" w:w="12240"/>
        <w:tblBorders>
          <w:top w:val="none"/>
          <w:left w:val="none"/>
          <w:bottom w:val="none"/>
          <w:right w:val="none"/>
          <w:insideH w:val="single" w:color="auto" w:sz="4"/>
          <w:insideV w:val="single" w:color="auto" w:sz="4"/>
        </w:tblBorders>
      </w:tblPr>
      <w:tblGrid>
        <w:gridCol w:w="2040"/>
        <w:gridCol w:w="2040"/>
        <w:gridCol w:w="2040"/>
        <w:gridCol w:w="2040"/>
        <w:gridCol w:w="2040"/>
        <w:gridCol w:w="2040"/>
      </w:tblGrid>
      <w:tr>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12+</w:t>
            </w:r>
          </w:p>
          <w:p>
            <w:pPr>
              <w:spacing w:before="0" w:after="0"/>
              <w:jc w:val="center"/>
            </w:pPr>
            <w:r>
              <w:rPr>
                <w:rFonts w:ascii="Calibri" w:cs="Calibri" w:eastAsia="Calibri" w:hAnsi="Calibri"/>
                <w:color w:val="90A4AE"/>
                <w:sz w:val="15"/>
                <w:szCs w:val="15"/>
              </w:rPr>
              <w:t xml:space="preserve">Years as BA</w:t>
            </w:r>
          </w:p>
        </w:tc>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$50M+</w:t>
            </w:r>
          </w:p>
          <w:p>
            <w:pPr>
              <w:spacing w:before="0" w:after="0"/>
              <w:jc w:val="center"/>
            </w:pPr>
            <w:r>
              <w:rPr>
                <w:rFonts w:ascii="Calibri" w:cs="Calibri" w:eastAsia="Calibri" w:hAnsi="Calibri"/>
                <w:color w:val="90A4AE"/>
                <w:sz w:val="15"/>
                <w:szCs w:val="15"/>
              </w:rPr>
              <w:t xml:space="preserve">Process Savings</w:t>
            </w:r>
          </w:p>
        </w:tc>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100+</w:t>
            </w:r>
          </w:p>
          <w:p>
            <w:pPr>
              <w:spacing w:before="0" w:after="0"/>
              <w:jc w:val="center"/>
            </w:pPr>
            <w:r>
              <w:rPr>
                <w:rFonts w:ascii="Calibri" w:cs="Calibri" w:eastAsia="Calibri" w:hAnsi="Calibri"/>
                <w:color w:val="90A4AE"/>
                <w:sz w:val="15"/>
                <w:szCs w:val="15"/>
              </w:rPr>
              <w:t xml:space="preserve">Requirements Docs</w:t>
            </w:r>
          </w:p>
        </w:tc>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4</w:t>
            </w:r>
          </w:p>
          <w:p>
            <w:pPr>
              <w:spacing w:before="0" w:after="0"/>
              <w:jc w:val="center"/>
            </w:pPr>
            <w:r>
              <w:rPr>
                <w:rFonts w:ascii="Calibri" w:cs="Calibri" w:eastAsia="Calibri" w:hAnsi="Calibri"/>
                <w:color w:val="90A4AE"/>
                <w:sz w:val="15"/>
                <w:szCs w:val="15"/>
              </w:rPr>
              <w:t xml:space="preserve">Domains Covered</w:t>
            </w:r>
          </w:p>
        </w:tc>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98%</w:t>
            </w:r>
          </w:p>
          <w:p>
            <w:pPr>
              <w:spacing w:before="0" w:after="0"/>
              <w:jc w:val="center"/>
            </w:pPr>
            <w:r>
              <w:rPr>
                <w:rFonts w:ascii="Calibri" w:cs="Calibri" w:eastAsia="Calibri" w:hAnsi="Calibri"/>
                <w:color w:val="90A4AE"/>
                <w:sz w:val="15"/>
                <w:szCs w:val="15"/>
              </w:rPr>
              <w:t xml:space="preserve">Stakeholder Sat.</w:t>
            </w:r>
          </w:p>
        </w:tc>
        <w:tc>
          <w:tcPr>
            <w:tcW w:type="dxa" w:w="2040"/>
            <w:tcBorders>
              <w:top w:val="none"/>
              <w:left w:val="none"/>
              <w:bottom w:val="none"/>
              <w:right w:val="none"/>
            </w:tcBorders>
            <w:shd w:fill="1A2E3D" w:val="clear"/>
            <w:tcMar>
              <w:top w:type="dxa" w:w="100"/>
              <w:left w:type="dxa" w:w="30"/>
              <w:bottom w:type="dxa" w:w="100"/>
              <w:right w:type="dxa" w:w="30"/>
            </w:tcMar>
          </w:tcPr>
          <w:p>
            <w:pPr>
              <w:spacing w:before="0" w:after="0"/>
              <w:jc w:val="center"/>
            </w:pPr>
            <w:r>
              <w:rPr>
                <w:rFonts w:ascii="Calibri" w:cs="Calibri" w:eastAsia="Calibri" w:hAnsi="Calibri"/>
                <w:b/>
                <w:bCs/>
                <w:color w:val="4ECDC4"/>
                <w:sz w:val="34"/>
                <w:szCs w:val="34"/>
              </w:rPr>
              <w:t xml:space="preserve">PMP</w:t>
            </w:r>
          </w:p>
          <w:p>
            <w:pPr>
              <w:spacing w:before="0" w:after="0"/>
              <w:jc w:val="center"/>
            </w:pPr>
            <w:r>
              <w:rPr>
                <w:rFonts w:ascii="Calibri" w:cs="Calibri" w:eastAsia="Calibri" w:hAnsi="Calibri"/>
                <w:color w:val="90A4AE"/>
                <w:sz w:val="15"/>
                <w:szCs w:val="15"/>
              </w:rPr>
              <w:t xml:space="preserve">Certified</w:t>
            </w:r>
          </w:p>
        </w:tc>
      </w:tr>
    </w:tbl>
    <w:p>
      <w:pPr>
        <w:spacing w:before="30"/>
      </w:pPr>
      <w:r>
        <w:rPr>
          <w:rFonts w:ascii="Calibri" w:cs="Calibri" w:eastAsia="Calibri" w:hAnsi="Calibri"/>
        </w:rPr>
        <w:t xml:space="preserve"/>
      </w:r>
    </w:p>
    <w:tbl>
      <w:tblPr>
        <w:tblW w:type="dxa" w:w="9500"/>
        <w:tblBorders>
          <w:top w:val="none"/>
          <w:left w:val="none"/>
          <w:bottom w:val="none"/>
          <w:right w:val="none"/>
          <w:insideH w:val="single" w:color="auto" w:sz="4"/>
          <w:insideV w:val="single" w:color="auto" w:sz="4"/>
        </w:tblBorders>
      </w:tblPr>
      <w:tblGrid>
        <w:gridCol w:w="2900"/>
        <w:gridCol w:w="80"/>
        <w:gridCol w:w="6520"/>
      </w:tblGrid>
      <w:tr>
        <w:tc>
          <w:tcPr>
            <w:tcW w:type="dxa" w:w="2900"/>
            <w:tcBorders>
              <w:top w:val="none"/>
              <w:left w:val="none"/>
              <w:bottom w:val="none"/>
              <w:right w:val="none"/>
            </w:tcBorders>
            <w:shd w:fill="1A2E3D" w:val="clear"/>
            <w:tcMar>
              <w:top w:type="dxa" w:w="80"/>
              <w:left w:type="dxa" w:w="180"/>
              <w:bottom w:type="dxa" w:w="80"/>
              <w:right w:type="dxa" w:w="150"/>
            </w:tcMar>
          </w:tcPr>
          <w:p>
            <w:pPr>
              <w:pBdr>
                <w:bottom w:val="single" w:color="4ECDC4" w:sz="6" w:space="4"/>
              </w:pBdr>
              <w:spacing w:before="220" w:after="60"/>
            </w:pPr>
            <w:r>
              <w:rPr>
                <w:rFonts w:ascii="Calibri" w:cs="Calibri" w:eastAsia="Calibri" w:hAnsi="Calibri"/>
                <w:b/>
                <w:bCs/>
                <w:caps/>
                <w:color w:val="B2DFDB"/>
                <w:sz w:val="19"/>
                <w:szCs w:val="19"/>
              </w:rPr>
              <w:t xml:space="preserve">BA Skills</w:t>
            </w:r>
          </w:p>
          <w:p>
            <w:pPr>
              <w:spacing w:before="28" w:after="22"/>
            </w:pPr>
            <w:r>
              <w:rPr>
                <w:rFonts w:ascii="Calibri" w:cs="Calibri" w:eastAsia="Calibri" w:hAnsi="Calibri"/>
                <w:color w:val="B2C8D8"/>
                <w:sz w:val="17"/>
                <w:szCs w:val="17"/>
              </w:rPr>
              <w:t xml:space="preserve">Requirements Engineering</w:t>
            </w:r>
          </w:p>
          <w:p>
            <w:pPr>
              <w:spacing w:before="28" w:after="22"/>
            </w:pPr>
            <w:r>
              <w:rPr>
                <w:rFonts w:ascii="Calibri" w:cs="Calibri" w:eastAsia="Calibri" w:hAnsi="Calibri"/>
                <w:color w:val="B2C8D8"/>
                <w:sz w:val="17"/>
                <w:szCs w:val="17"/>
              </w:rPr>
              <w:t xml:space="preserve">Process Mapping (BPMN)</w:t>
            </w:r>
          </w:p>
          <w:p>
            <w:pPr>
              <w:spacing w:before="28" w:after="22"/>
            </w:pPr>
            <w:r>
              <w:rPr>
                <w:rFonts w:ascii="Calibri" w:cs="Calibri" w:eastAsia="Calibri" w:hAnsi="Calibri"/>
                <w:color w:val="B2C8D8"/>
                <w:sz w:val="17"/>
                <w:szCs w:val="17"/>
              </w:rPr>
              <w:t xml:space="preserve">Business Case Development</w:t>
            </w:r>
          </w:p>
          <w:p>
            <w:pPr>
              <w:spacing w:before="28" w:after="22"/>
            </w:pPr>
            <w:r>
              <w:rPr>
                <w:rFonts w:ascii="Calibri" w:cs="Calibri" w:eastAsia="Calibri" w:hAnsi="Calibri"/>
                <w:color w:val="B2C8D8"/>
                <w:sz w:val="17"/>
                <w:szCs w:val="17"/>
              </w:rPr>
              <w:t xml:space="preserve">Gap / Root Cause Analysis</w:t>
            </w:r>
          </w:p>
          <w:p>
            <w:pPr>
              <w:spacing w:before="28" w:after="22"/>
            </w:pPr>
            <w:r>
              <w:rPr>
                <w:rFonts w:ascii="Calibri" w:cs="Calibri" w:eastAsia="Calibri" w:hAnsi="Calibri"/>
                <w:color w:val="B2C8D8"/>
                <w:sz w:val="17"/>
                <w:szCs w:val="17"/>
              </w:rPr>
              <w:t xml:space="preserve">UAT &amp; Testing Strategy</w:t>
            </w:r>
          </w:p>
          <w:p>
            <w:pPr>
              <w:spacing w:before="28" w:after="22"/>
            </w:pPr>
            <w:r>
              <w:rPr>
                <w:rFonts w:ascii="Calibri" w:cs="Calibri" w:eastAsia="Calibri" w:hAnsi="Calibri"/>
                <w:color w:val="B2C8D8"/>
                <w:sz w:val="17"/>
                <w:szCs w:val="17"/>
              </w:rPr>
              <w:t xml:space="preserve">Data Analysis &amp; Reporting</w:t>
            </w:r>
          </w:p>
          <w:p>
            <w:pPr>
              <w:spacing w:before="28" w:after="22"/>
            </w:pPr>
            <w:r>
              <w:rPr>
                <w:rFonts w:ascii="Calibri" w:cs="Calibri" w:eastAsia="Calibri" w:hAnsi="Calibri"/>
                <w:color w:val="B2C8D8"/>
                <w:sz w:val="17"/>
                <w:szCs w:val="17"/>
              </w:rPr>
              <w:t xml:space="preserve">Stakeholder Management</w:t>
            </w:r>
          </w:p>
          <w:p>
            <w:pPr>
              <w:pBdr>
                <w:bottom w:val="single" w:color="4ECDC4" w:sz="6" w:space="4"/>
              </w:pBdr>
              <w:spacing w:before="220" w:after="60"/>
            </w:pPr>
            <w:r>
              <w:rPr>
                <w:rFonts w:ascii="Calibri" w:cs="Calibri" w:eastAsia="Calibri" w:hAnsi="Calibri"/>
                <w:b/>
                <w:bCs/>
                <w:caps/>
                <w:color w:val="B2DFDB"/>
                <w:sz w:val="19"/>
                <w:szCs w:val="19"/>
              </w:rPr>
              <w:t xml:space="preserve">Tools</w:t>
            </w:r>
          </w:p>
          <w:p>
            <w:pPr>
              <w:spacing w:before="28" w:after="22"/>
            </w:pPr>
            <w:r>
              <w:rPr>
                <w:rFonts w:ascii="Calibri" w:cs="Calibri" w:eastAsia="Calibri" w:hAnsi="Calibri"/>
                <w:color w:val="B2C8D8"/>
                <w:sz w:val="17"/>
                <w:szCs w:val="17"/>
              </w:rPr>
              <w:t xml:space="preserve">Jira / Confluence / ADO</w:t>
            </w:r>
          </w:p>
          <w:p>
            <w:pPr>
              <w:spacing w:before="28" w:after="22"/>
            </w:pPr>
            <w:r>
              <w:rPr>
                <w:rFonts w:ascii="Calibri" w:cs="Calibri" w:eastAsia="Calibri" w:hAnsi="Calibri"/>
                <w:color w:val="B2C8D8"/>
                <w:sz w:val="17"/>
                <w:szCs w:val="17"/>
              </w:rPr>
              <w:t xml:space="preserve">Tableau / Power BI</w:t>
            </w:r>
          </w:p>
          <w:p>
            <w:pPr>
              <w:spacing w:before="28" w:after="22"/>
            </w:pPr>
            <w:r>
              <w:rPr>
                <w:rFonts w:ascii="Calibri" w:cs="Calibri" w:eastAsia="Calibri" w:hAnsi="Calibri"/>
                <w:color w:val="B2C8D8"/>
                <w:sz w:val="17"/>
                <w:szCs w:val="17"/>
              </w:rPr>
              <w:t xml:space="preserve">SQL / Python basics</w:t>
            </w:r>
          </w:p>
          <w:p>
            <w:pPr>
              <w:spacing w:before="28" w:after="22"/>
            </w:pPr>
            <w:r>
              <w:rPr>
                <w:rFonts w:ascii="Calibri" w:cs="Calibri" w:eastAsia="Calibri" w:hAnsi="Calibri"/>
                <w:color w:val="B2C8D8"/>
                <w:sz w:val="17"/>
                <w:szCs w:val="17"/>
              </w:rPr>
              <w:t xml:space="preserve">Lucidchart / Visio</w:t>
            </w:r>
          </w:p>
          <w:p>
            <w:pPr>
              <w:spacing w:before="28" w:after="22"/>
            </w:pPr>
            <w:r>
              <w:rPr>
                <w:rFonts w:ascii="Calibri" w:cs="Calibri" w:eastAsia="Calibri" w:hAnsi="Calibri"/>
                <w:color w:val="B2C8D8"/>
                <w:sz w:val="17"/>
                <w:szCs w:val="17"/>
              </w:rPr>
              <w:t xml:space="preserve">Salesforce / ServiceNow</w:t>
            </w:r>
          </w:p>
          <w:p>
            <w:pPr>
              <w:spacing w:before="28" w:after="22"/>
            </w:pPr>
            <w:r>
              <w:rPr>
                <w:rFonts w:ascii="Calibri" w:cs="Calibri" w:eastAsia="Calibri" w:hAnsi="Calibri"/>
                <w:color w:val="B2C8D8"/>
                <w:sz w:val="17"/>
                <w:szCs w:val="17"/>
              </w:rPr>
              <w:t xml:space="preserve">SAP / Oracle ERP</w:t>
            </w:r>
          </w:p>
          <w:p>
            <w:pPr>
              <w:spacing w:before="28" w:after="22"/>
            </w:pPr>
            <w:r>
              <w:rPr>
                <w:rFonts w:ascii="Calibri" w:cs="Calibri" w:eastAsia="Calibri" w:hAnsi="Calibri"/>
                <w:color w:val="B2C8D8"/>
                <w:sz w:val="17"/>
                <w:szCs w:val="17"/>
              </w:rPr>
              <w:t xml:space="preserve">JIRA / Rally / VersionOne</w:t>
            </w:r>
          </w:p>
          <w:p>
            <w:pPr>
              <w:pBdr>
                <w:bottom w:val="single" w:color="4ECDC4" w:sz="6" w:space="4"/>
              </w:pBdr>
              <w:spacing w:before="220" w:after="60"/>
            </w:pPr>
            <w:r>
              <w:rPr>
                <w:rFonts w:ascii="Calibri" w:cs="Calibri" w:eastAsia="Calibri" w:hAnsi="Calibri"/>
                <w:b/>
                <w:bCs/>
                <w:caps/>
                <w:color w:val="B2DFDB"/>
                <w:sz w:val="19"/>
                <w:szCs w:val="19"/>
              </w:rPr>
              <w:t xml:space="preserve">Frameworks</w:t>
            </w:r>
          </w:p>
          <w:p>
            <w:pPr>
              <w:spacing w:before="28" w:after="22"/>
            </w:pPr>
            <w:r>
              <w:rPr>
                <w:rFonts w:ascii="Calibri" w:cs="Calibri" w:eastAsia="Calibri" w:hAnsi="Calibri"/>
                <w:color w:val="B2C8D8"/>
                <w:sz w:val="17"/>
                <w:szCs w:val="17"/>
              </w:rPr>
              <w:t xml:space="preserve">Agile / SAFe / Scrum</w:t>
            </w:r>
          </w:p>
          <w:p>
            <w:pPr>
              <w:spacing w:before="28" w:after="22"/>
            </w:pPr>
            <w:r>
              <w:rPr>
                <w:rFonts w:ascii="Calibri" w:cs="Calibri" w:eastAsia="Calibri" w:hAnsi="Calibri"/>
                <w:color w:val="B2C8D8"/>
                <w:sz w:val="17"/>
                <w:szCs w:val="17"/>
              </w:rPr>
              <w:t xml:space="preserve">BABOK v3 Certified</w:t>
            </w:r>
          </w:p>
          <w:p>
            <w:pPr>
              <w:spacing w:before="28" w:after="22"/>
            </w:pPr>
            <w:r>
              <w:rPr>
                <w:rFonts w:ascii="Calibri" w:cs="Calibri" w:eastAsia="Calibri" w:hAnsi="Calibri"/>
                <w:color w:val="B2C8D8"/>
                <w:sz w:val="17"/>
                <w:szCs w:val="17"/>
              </w:rPr>
              <w:t xml:space="preserve">Lean Six Sigma Black Belt</w:t>
            </w:r>
          </w:p>
        </w:tc>
        <w:tc>
          <w:tcPr>
            <w:tcW w:type="dxa" w:w="80"/>
            <w:tcBorders>
              <w:top w:val="none"/>
              <w:left w:val="none"/>
              <w:bottom w:val="none"/>
              <w:right w:val="none"/>
            </w:tcBorders>
            <w:shd w:fill="FFFFFF" w:val="clear"/>
          </w:tcPr>
          <w:p>
            <w:r>
              <w:rPr>
                <w:rFonts w:ascii="Calibri" w:cs="Calibri" w:eastAsia="Calibri" w:hAnsi="Calibri"/>
              </w:rPr>
              <w:t xml:space="preserve"/>
            </w:r>
          </w:p>
        </w:tc>
        <w:tc>
          <w:tcPr>
            <w:tcW w:type="dxa" w:w="6520"/>
            <w:tcBorders>
              <w:top w:val="none"/>
              <w:left w:val="none"/>
              <w:bottom w:val="none"/>
              <w:right w:val="none"/>
            </w:tcBorders>
            <w:shd w:fill="FFFFFF" w:val="clear"/>
            <w:tcMar>
              <w:top w:type="dxa" w:w="60"/>
              <w:left w:type="dxa" w:w="200"/>
              <w:bottom w:type="dxa" w:w="60"/>
              <w:right w:type="dxa" w:w="100"/>
            </w:tcMar>
          </w:tcPr>
          <w:p>
            <w:pPr>
              <w:pBdr>
                <w:bottom w:val="single" w:color="4ECDC4" w:sz="14" w:space="4"/>
              </w:pBdr>
              <w:spacing w:before="260" w:after="80"/>
            </w:pPr>
            <w:r>
              <w:rPr>
                <w:rFonts w:ascii="Calibri" w:cs="Calibri" w:eastAsia="Calibri" w:hAnsi="Calibri"/>
                <w:b/>
                <w:bCs/>
                <w:caps/>
                <w:color w:val="0D1E29"/>
                <w:sz w:val="25"/>
                <w:szCs w:val="25"/>
              </w:rPr>
              <w:t xml:space="preserve">Professional Summary</w:t>
            </w:r>
          </w:p>
          <w:p>
            <w:pPr>
              <w:spacing w:before="80" w:after="80"/>
            </w:pPr>
            <w:r>
              <w:rPr>
                <w:rFonts w:ascii="Calibri" w:cs="Calibri" w:eastAsia="Calibri" w:hAnsi="Calibri"/>
                <w:color w:val="0D1E29"/>
                <w:sz w:val="19"/>
                <w:szCs w:val="19"/>
              </w:rPr>
              <w:t xml:space="preserve">Senior Business Analyst with 12+ years bridging business strategy and technology delivery across financial services, healthcare, and retail at Accenture, UnitedHealth Group, and Walgreens Boots Alliance. CBAP and PMP certified with Lean Six Sigma Black Belt. Deep expertise in enterprise requirements engineering, business process optimization, and Agile delivery. Consistently delivering $50M+ in process efficiencies and 98% stakeholder satisfaction across 100+ major requirements engagements spanning ERP implementations, digital transformations, and data analytics initiatives.</w:t>
            </w:r>
          </w:p>
          <w:p>
            <w:pPr>
              <w:pBdr>
                <w:bottom w:val="single" w:color="4ECDC4" w:sz="14" w:space="4"/>
              </w:pBdr>
              <w:spacing w:before="260" w:after="80"/>
            </w:pPr>
            <w:r>
              <w:rPr>
                <w:rFonts w:ascii="Calibri" w:cs="Calibri" w:eastAsia="Calibri" w:hAnsi="Calibri"/>
                <w:b/>
                <w:bCs/>
                <w:caps/>
                <w:color w:val="0D1E29"/>
                <w:sz w:val="25"/>
                <w:szCs w:val="25"/>
              </w:rPr>
              <w:t xml:space="preserve">Core Competencies</w:t>
            </w:r>
          </w:p>
          <w:p>
            <w:pPr>
              <w:spacing w:before="50"/>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Requirements Engineering</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Process Mapping BPMN</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Business Case Dev.</w:t>
                  </w:r>
                </w:p>
              </w:tc>
            </w:tr>
          </w:tbl>
          <w:p>
            <w:pPr>
              <w:spacing w:before="6"/>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Gap Analysis</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UAT Strategy</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Stakeholder Mgmt</w:t>
                  </w:r>
                </w:p>
              </w:tc>
            </w:tr>
          </w:tbl>
          <w:p>
            <w:pPr>
              <w:spacing w:before="6"/>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Data Analysis SQL</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Tableau / Power BI</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Agile / SAFe</w:t>
                  </w:r>
                </w:p>
              </w:tc>
            </w:tr>
          </w:tbl>
          <w:p>
            <w:pPr>
              <w:spacing w:before="6"/>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Lean Six Sigma</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ERP SAP / Oracle</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Salesforce CRM</w:t>
                  </w:r>
                </w:p>
              </w:tc>
            </w:tr>
          </w:tbl>
          <w:p>
            <w:pPr>
              <w:spacing w:before="6"/>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BABOK v3</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Root Cause Analysis</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Change Management</w:t>
                  </w:r>
                </w:p>
              </w:tc>
            </w:tr>
          </w:tbl>
          <w:p>
            <w:pPr>
              <w:spacing w:before="6"/>
            </w:pPr>
            <w:r>
              <w:rPr>
                <w:rFonts w:ascii="Calibri" w:cs="Calibri" w:eastAsia="Calibri" w:hAnsi="Calibri"/>
              </w:rPr>
              <w:t xml:space="preserve"/>
            </w:r>
          </w:p>
          <w:tbl>
            <w:tblPr>
              <w:tblW w:type="dxa" w:w="6400"/>
              <w:tblBorders>
                <w:top w:val="none"/>
                <w:left w:val="none"/>
                <w:bottom w:val="none"/>
                <w:right w:val="none"/>
                <w:insideH w:val="single" w:color="auto" w:sz="4"/>
                <w:insideV w:val="single" w:color="auto" w:sz="4"/>
              </w:tblBorders>
            </w:tblPr>
            <w:tblGrid>
              <w:gridCol w:w="2133"/>
              <w:gridCol w:w="2133"/>
              <w:gridCol w:w="2134"/>
            </w:tblGrid>
            <w:tr>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Digital Transformation</w:t>
                  </w:r>
                </w:p>
              </w:tc>
              <w:tc>
                <w:tcPr>
                  <w:tcW w:type="dxa" w:w="2133"/>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User Story Writing</w:t>
                  </w:r>
                </w:p>
              </w:tc>
              <w:tc>
                <w:tcPr>
                  <w:tcW w:type="dxa" w:w="2134"/>
                  <w:tcBorders>
                    <w:top w:val="none"/>
                    <w:left w:val="none"/>
                    <w:bottom w:val="none"/>
                    <w:right w:val="none"/>
                  </w:tcBorders>
                  <w:shd w:fill="E0F2F1" w:val="clear"/>
                  <w:tcMar>
                    <w:top w:type="dxa" w:w="60"/>
                    <w:left w:type="dxa" w:w="90"/>
                    <w:bottom w:type="dxa" w:w="60"/>
                    <w:right w:type="dxa" w:w="60"/>
                  </w:tcMar>
                </w:tcPr>
                <w:p>
                  <w:r>
                    <w:rPr>
                      <w:rFonts w:ascii="Calibri" w:cs="Calibri" w:eastAsia="Calibri" w:hAnsi="Calibri"/>
                      <w:b/>
                      <w:bCs/>
                      <w:color w:val="0D1E29"/>
                      <w:sz w:val="17"/>
                      <w:szCs w:val="17"/>
                    </w:rPr>
                    <w:t xml:space="preserve">▸ Prioritization Frameworks</w:t>
                  </w:r>
                </w:p>
              </w:tc>
            </w:tr>
          </w:tbl>
          <w:p>
            <w:pPr>
              <w:spacing w:before="6"/>
            </w:pPr>
            <w:r>
              <w:rPr>
                <w:rFonts w:ascii="Calibri" w:cs="Calibri" w:eastAsia="Calibri" w:hAnsi="Calibri"/>
              </w:rPr>
              <w:t xml:space="preserve"/>
            </w:r>
          </w:p>
          <w:p>
            <w:pPr>
              <w:pBdr>
                <w:bottom w:val="single" w:color="4ECDC4" w:sz="14" w:space="4"/>
              </w:pBdr>
              <w:spacing w:before="260" w:after="80"/>
            </w:pPr>
            <w:r>
              <w:rPr>
                <w:rFonts w:ascii="Calibri" w:cs="Calibri" w:eastAsia="Calibri" w:hAnsi="Calibri"/>
                <w:b/>
                <w:bCs/>
                <w:caps/>
                <w:color w:val="0D1E29"/>
                <w:sz w:val="25"/>
                <w:szCs w:val="25"/>
              </w:rPr>
              <w:t xml:space="preserve">Professional Experience</w:t>
            </w:r>
          </w:p>
          <w:p>
            <w:pPr>
              <w:spacing w:before="170" w:after="20"/>
            </w:pPr>
            <w:r>
              <w:rPr>
                <w:rFonts w:ascii="Calibri" w:cs="Calibri" w:eastAsia="Calibri" w:hAnsi="Calibri"/>
                <w:b/>
                <w:bCs/>
                <w:color w:val="0D1E29"/>
                <w:sz w:val="21"/>
                <w:szCs w:val="21"/>
              </w:rPr>
              <w:t xml:space="preserve">Senior Business Analyst / Lead</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Accenture</w:t>
            </w:r>
          </w:p>
          <w:p>
            <w:pPr>
              <w:spacing w:before="0" w:after="55"/>
            </w:pPr>
            <w:r>
              <w:rPr>
                <w:rFonts w:ascii="Calibri" w:cs="Calibri" w:eastAsia="Calibri" w:hAnsi="Calibri"/>
                <w:i/>
                <w:iCs/>
                <w:color w:val="888888"/>
                <w:sz w:val="18"/>
                <w:szCs w:val="18"/>
              </w:rPr>
              <w:t xml:space="preserve">March 2018 – Present</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spacing w:before="0" w:after="50"/>
            </w:pPr>
            <w:r>
              <w:rPr>
                <w:rFonts w:ascii="Calibri" w:cs="Calibri" w:eastAsia="Calibri" w:hAnsi="Calibri"/>
                <w:i/>
                <w:iCs/>
                <w:color w:val="888888"/>
                <w:sz w:val="18"/>
                <w:szCs w:val="18"/>
              </w:rPr>
              <w:t xml:space="preserve">Accenture Technology consulting practice. Led business analysis for digital transformation programs at Fortune 500 clients across financial services and healthcare.</w:t>
            </w:r>
          </w:p>
          <w:p>
            <w:pPr>
              <w:pStyle w:val="ListParagraph"/>
              <w:numPr>
                <w:ilvl w:val="0"/>
                <w:numId w:val="2"/>
              </w:numPr>
              <w:spacing w:before="32" w:after="32"/>
            </w:pPr>
            <w:r>
              <w:rPr>
                <w:rFonts w:ascii="Calibri" w:cs="Calibri" w:eastAsia="Calibri" w:hAnsi="Calibri"/>
                <w:b/>
                <w:bCs/>
                <w:color w:val="4ECDC4"/>
                <w:sz w:val="19"/>
                <w:szCs w:val="19"/>
              </w:rPr>
              <w:t xml:space="preserve">$18M savings: </w:t>
            </w:r>
            <w:r>
              <w:rPr>
                <w:rFonts w:ascii="Calibri" w:cs="Calibri" w:eastAsia="Calibri" w:hAnsi="Calibri"/>
                <w:color w:val="0D1E29"/>
                <w:sz w:val="19"/>
                <w:szCs w:val="19"/>
              </w:rPr>
              <w:t xml:space="preserve">Led requirements engineering for Aetna claims processing digital transformation (SAP + Salesforce); identified 45 process inefficiencies delivering $18M annual savings through automation and workflow redesign.</w:t>
            </w:r>
          </w:p>
          <w:p>
            <w:pPr>
              <w:pStyle w:val="ListParagraph"/>
              <w:numPr>
                <w:ilvl w:val="0"/>
                <w:numId w:val="2"/>
              </w:numPr>
              <w:spacing w:before="28" w:after="28"/>
            </w:pPr>
            <w:r>
              <w:rPr>
                <w:rFonts w:ascii="Calibri" w:cs="Calibri" w:eastAsia="Calibri" w:hAnsi="Calibri"/>
                <w:color w:val="0D1E29"/>
                <w:sz w:val="19"/>
                <w:szCs w:val="19"/>
              </w:rPr>
              <w:t xml:space="preserve">Managed stakeholder engagement across 8 business units and 3 technology teams for JPMorgan retail banking platform modernization; facilitated 200+ requirements sessions producing 500-page functional specification on time.</w:t>
            </w:r>
          </w:p>
          <w:p>
            <w:pPr>
              <w:pStyle w:val="ListParagraph"/>
              <w:numPr>
                <w:ilvl w:val="0"/>
                <w:numId w:val="2"/>
              </w:numPr>
              <w:spacing w:before="28" w:after="28"/>
            </w:pPr>
            <w:r>
              <w:rPr>
                <w:rFonts w:ascii="Calibri" w:cs="Calibri" w:eastAsia="Calibri" w:hAnsi="Calibri"/>
                <w:color w:val="0D1E29"/>
                <w:sz w:val="19"/>
                <w:szCs w:val="19"/>
              </w:rPr>
              <w:t xml:space="preserve">Developed business case and ROI models for 6 digital investment decisions; presentations approved by C-suite securing $120M+ in technology funding across client portfolio.</w:t>
            </w:r>
          </w:p>
          <w:p>
            <w:pPr>
              <w:pStyle w:val="ListParagraph"/>
              <w:numPr>
                <w:ilvl w:val="0"/>
                <w:numId w:val="2"/>
              </w:numPr>
              <w:spacing w:before="28" w:after="28"/>
            </w:pPr>
            <w:r>
              <w:rPr>
                <w:rFonts w:ascii="Calibri" w:cs="Calibri" w:eastAsia="Calibri" w:hAnsi="Calibri"/>
                <w:color w:val="0D1E29"/>
                <w:sz w:val="19"/>
                <w:szCs w:val="19"/>
              </w:rPr>
              <w:t xml:space="preserve">Led UAT program for Citibank trading platform migration with 50+ business users; designed 2,000+ test cases achieving 99.8% pass rate enabling successful go-live with zero critical defects.</w:t>
            </w:r>
          </w:p>
          <w:p>
            <w:pPr>
              <w:pStyle w:val="ListParagraph"/>
              <w:numPr>
                <w:ilvl w:val="0"/>
                <w:numId w:val="2"/>
              </w:numPr>
              <w:spacing w:before="28" w:after="28"/>
            </w:pPr>
            <w:r>
              <w:rPr>
                <w:rFonts w:ascii="Calibri" w:cs="Calibri" w:eastAsia="Calibri" w:hAnsi="Calibri"/>
                <w:color w:val="0D1E29"/>
                <w:sz w:val="19"/>
                <w:szCs w:val="19"/>
              </w:rPr>
              <w:t xml:space="preserve">Established BA Center of Excellence methodology at Accenture; created templates, standards, and training adopted by 150+ BAs across North America practice improving delivery consistency.</w:t>
            </w:r>
          </w:p>
          <w:p>
            <w:pPr>
              <w:pStyle w:val="ListParagraph"/>
              <w:numPr>
                <w:ilvl w:val="0"/>
                <w:numId w:val="2"/>
              </w:numPr>
              <w:spacing w:before="28" w:after="28"/>
            </w:pPr>
            <w:r>
              <w:rPr>
                <w:rFonts w:ascii="Calibri" w:cs="Calibri" w:eastAsia="Calibri" w:hAnsi="Calibri"/>
                <w:color w:val="0D1E29"/>
                <w:sz w:val="19"/>
                <w:szCs w:val="19"/>
              </w:rPr>
              <w:t xml:space="preserve">Mentored 8 junior BAs through structured coaching and requirements workshops; 6 of 8 achieved CBAP certification within 18 months of joining the program.</w:t>
            </w:r>
          </w:p>
          <w:p>
            <w:pPr>
              <w:spacing w:before="170" w:after="20"/>
            </w:pPr>
            <w:r>
              <w:rPr>
                <w:rFonts w:ascii="Calibri" w:cs="Calibri" w:eastAsia="Calibri" w:hAnsi="Calibri"/>
                <w:b/>
                <w:bCs/>
                <w:color w:val="0D1E29"/>
                <w:sz w:val="21"/>
                <w:szCs w:val="21"/>
              </w:rPr>
              <w:t xml:space="preserve">Senior Business Analyst</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UnitedHealth Group</w:t>
            </w:r>
          </w:p>
          <w:p>
            <w:pPr>
              <w:spacing w:before="0" w:after="55"/>
            </w:pPr>
            <w:r>
              <w:rPr>
                <w:rFonts w:ascii="Calibri" w:cs="Calibri" w:eastAsia="Calibri" w:hAnsi="Calibri"/>
                <w:i/>
                <w:iCs/>
                <w:color w:val="888888"/>
                <w:sz w:val="18"/>
                <w:szCs w:val="18"/>
              </w:rPr>
              <w:t xml:space="preserve">April 2015 – February 2018</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spacing w:before="0" w:after="50"/>
            </w:pPr>
            <w:r>
              <w:rPr>
                <w:rFonts w:ascii="Calibri" w:cs="Calibri" w:eastAsia="Calibri" w:hAnsi="Calibri"/>
                <w:i/>
                <w:iCs/>
                <w:color w:val="888888"/>
                <w:sz w:val="18"/>
                <w:szCs w:val="18"/>
              </w:rPr>
              <w:t xml:space="preserve">UHG Optum Technology division. Led requirements analysis for enterprise healthcare IT systems serving 100M+ members.</w:t>
            </w:r>
          </w:p>
          <w:p>
            <w:pPr>
              <w:pStyle w:val="ListParagraph"/>
              <w:numPr>
                <w:ilvl w:val="0"/>
                <w:numId w:val="2"/>
              </w:numPr>
              <w:spacing w:before="28" w:after="28"/>
            </w:pPr>
            <w:r>
              <w:rPr>
                <w:rFonts w:ascii="Calibri" w:cs="Calibri" w:eastAsia="Calibri" w:hAnsi="Calibri"/>
                <w:color w:val="0D1E29"/>
                <w:sz w:val="19"/>
                <w:szCs w:val="19"/>
              </w:rPr>
              <w:t xml:space="preserve">Designed requirements framework for UHG claims adjudication system processing 2M+ daily claims; documented 800+ business rules in structured BPMN notation reducing development rework by 45%.</w:t>
            </w:r>
          </w:p>
          <w:p>
            <w:pPr>
              <w:pStyle w:val="ListParagraph"/>
              <w:numPr>
                <w:ilvl w:val="0"/>
                <w:numId w:val="2"/>
              </w:numPr>
              <w:spacing w:before="32" w:after="32"/>
            </w:pPr>
            <w:r>
              <w:rPr>
                <w:rFonts w:ascii="Calibri" w:cs="Calibri" w:eastAsia="Calibri" w:hAnsi="Calibri"/>
                <w:b/>
                <w:bCs/>
                <w:color w:val="4ECDC4"/>
                <w:sz w:val="19"/>
                <w:szCs w:val="19"/>
              </w:rPr>
              <w:t xml:space="preserve">$12M efficiency: </w:t>
            </w:r>
            <w:r>
              <w:rPr>
                <w:rFonts w:ascii="Calibri" w:cs="Calibri" w:eastAsia="Calibri" w:hAnsi="Calibri"/>
                <w:color w:val="0D1E29"/>
                <w:sz w:val="19"/>
                <w:szCs w:val="19"/>
              </w:rPr>
              <w:t xml:space="preserve">Analyzed and redesigned 12 end-to-end healthcare workflows using Lean Six Sigma; delivered $12M operational efficiency through elimination of non-value-added steps and automation.</w:t>
            </w:r>
          </w:p>
          <w:p>
            <w:pPr>
              <w:pStyle w:val="ListParagraph"/>
              <w:numPr>
                <w:ilvl w:val="0"/>
                <w:numId w:val="2"/>
              </w:numPr>
              <w:spacing w:before="28" w:after="28"/>
            </w:pPr>
            <w:r>
              <w:rPr>
                <w:rFonts w:ascii="Calibri" w:cs="Calibri" w:eastAsia="Calibri" w:hAnsi="Calibri"/>
                <w:color w:val="0D1E29"/>
                <w:sz w:val="19"/>
                <w:szCs w:val="19"/>
              </w:rPr>
              <w:t xml:space="preserve">Built Tableau dashboards for clinical quality metrics tracking 50+ KPIs across 500+ provider networks; enabled data-driven decisions reducing manual reporting effort by 30 hours/week.</w:t>
            </w:r>
          </w:p>
          <w:p>
            <w:pPr>
              <w:spacing w:before="170" w:after="20"/>
            </w:pPr>
            <w:r>
              <w:rPr>
                <w:rFonts w:ascii="Calibri" w:cs="Calibri" w:eastAsia="Calibri" w:hAnsi="Calibri"/>
                <w:b/>
                <w:bCs/>
                <w:color w:val="0D1E29"/>
                <w:sz w:val="21"/>
                <w:szCs w:val="21"/>
              </w:rPr>
              <w:t xml:space="preserve">Business Analyst</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Walgreens Boots Alliance</w:t>
            </w:r>
          </w:p>
          <w:p>
            <w:pPr>
              <w:spacing w:before="0" w:after="55"/>
            </w:pPr>
            <w:r>
              <w:rPr>
                <w:rFonts w:ascii="Calibri" w:cs="Calibri" w:eastAsia="Calibri" w:hAnsi="Calibri"/>
                <w:i/>
                <w:iCs/>
                <w:color w:val="888888"/>
                <w:sz w:val="18"/>
                <w:szCs w:val="18"/>
              </w:rPr>
              <w:t xml:space="preserve">July 2013 – March 2015</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pStyle w:val="ListParagraph"/>
              <w:numPr>
                <w:ilvl w:val="0"/>
                <w:numId w:val="2"/>
              </w:numPr>
              <w:spacing w:before="28" w:after="28"/>
            </w:pPr>
            <w:r>
              <w:rPr>
                <w:rFonts w:ascii="Calibri" w:cs="Calibri" w:eastAsia="Calibri" w:hAnsi="Calibri"/>
                <w:color w:val="0D1E29"/>
                <w:sz w:val="19"/>
                <w:szCs w:val="19"/>
              </w:rPr>
              <w:t xml:space="preserve">Led requirements analysis for pharmacy inventory management system (Oracle ERP) serving 8,000+ retail locations; produced functional specifications enabling $8M inventory optimization through demand forecasting.</w:t>
            </w:r>
          </w:p>
          <w:p>
            <w:pPr>
              <w:pStyle w:val="ListParagraph"/>
              <w:numPr>
                <w:ilvl w:val="0"/>
                <w:numId w:val="2"/>
              </w:numPr>
              <w:spacing w:before="28" w:after="28"/>
            </w:pPr>
            <w:r>
              <w:rPr>
                <w:rFonts w:ascii="Calibri" w:cs="Calibri" w:eastAsia="Calibri" w:hAnsi="Calibri"/>
                <w:color w:val="0D1E29"/>
                <w:sz w:val="19"/>
                <w:szCs w:val="19"/>
              </w:rPr>
              <w:t xml:space="preserve">Conducted process mapping workshops with 30+ pharmacy operations stakeholders; identified 15 automation opportunities reducing manual data entry by 60% across 3 operational workflows.</w:t>
            </w:r>
          </w:p>
          <w:p>
            <w:pPr>
              <w:spacing w:before="170" w:after="20"/>
            </w:pPr>
            <w:r>
              <w:rPr>
                <w:rFonts w:ascii="Calibri" w:cs="Calibri" w:eastAsia="Calibri" w:hAnsi="Calibri"/>
                <w:b/>
                <w:bCs/>
                <w:color w:val="0D1E29"/>
                <w:sz w:val="21"/>
                <w:szCs w:val="21"/>
              </w:rPr>
              <w:t xml:space="preserve">Junior Business Analyst</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Deloitte</w:t>
            </w:r>
          </w:p>
          <w:p>
            <w:pPr>
              <w:spacing w:before="0" w:after="55"/>
            </w:pPr>
            <w:r>
              <w:rPr>
                <w:rFonts w:ascii="Calibri" w:cs="Calibri" w:eastAsia="Calibri" w:hAnsi="Calibri"/>
                <w:i/>
                <w:iCs/>
                <w:color w:val="888888"/>
                <w:sz w:val="18"/>
                <w:szCs w:val="18"/>
              </w:rPr>
              <w:t xml:space="preserve">September 2011 – June 2013</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pStyle w:val="ListParagraph"/>
              <w:numPr>
                <w:ilvl w:val="0"/>
                <w:numId w:val="2"/>
              </w:numPr>
              <w:spacing w:before="28" w:after="28"/>
            </w:pPr>
            <w:r>
              <w:rPr>
                <w:rFonts w:ascii="Calibri" w:cs="Calibri" w:eastAsia="Calibri" w:hAnsi="Calibri"/>
                <w:color w:val="0D1E29"/>
                <w:sz w:val="19"/>
                <w:szCs w:val="19"/>
              </w:rPr>
              <w:t xml:space="preserve">Supported ERP implementation requirements for 3 Midwest manufacturing clients; gathered and documented 300+ functional requirements and participated in solution design workshops.</w:t>
            </w:r>
          </w:p>
        </w:tc>
      </w:tr>
    </w:tbl>
    <w:tbl>
      <w:tblPr>
        <w:tblW w:type="dxa" w:w="9500"/>
        <w:tblBorders>
          <w:top w:val="none"/>
          <w:left w:val="none"/>
          <w:bottom w:val="none"/>
          <w:right w:val="none"/>
          <w:insideH w:val="single" w:color="auto" w:sz="4"/>
          <w:insideV w:val="single" w:color="auto" w:sz="4"/>
        </w:tblBorders>
      </w:tblPr>
      <w:tblGrid>
        <w:gridCol w:w="2900"/>
        <w:gridCol w:w="80"/>
        <w:gridCol w:w="6520"/>
      </w:tblGrid>
      <w:tr>
        <w:tc>
          <w:tcPr>
            <w:tcW w:type="dxa" w:w="2900"/>
            <w:tcBorders>
              <w:top w:val="none"/>
              <w:left w:val="none"/>
              <w:bottom w:val="none"/>
              <w:right w:val="none"/>
            </w:tcBorders>
            <w:shd w:fill="1A2E3D" w:val="clear"/>
            <w:tcMar>
              <w:top w:type="dxa" w:w="80"/>
              <w:left w:type="dxa" w:w="180"/>
              <w:bottom w:type="dxa" w:w="80"/>
              <w:right w:type="dxa" w:w="150"/>
            </w:tcMar>
          </w:tcPr>
          <w:p>
            <w:pPr>
              <w:spacing w:before="28" w:after="22"/>
            </w:pPr>
            <w:r>
              <w:rPr>
                <w:rFonts w:ascii="Calibri" w:cs="Calibri" w:eastAsia="Calibri" w:hAnsi="Calibri"/>
                <w:color w:val="B2C8D8"/>
                <w:sz w:val="17"/>
                <w:szCs w:val="17"/>
              </w:rPr>
              <w:t xml:space="preserve">TOGAF Business Arch.</w:t>
            </w:r>
          </w:p>
          <w:p>
            <w:pPr>
              <w:spacing w:before="28" w:after="22"/>
            </w:pPr>
            <w:r>
              <w:rPr>
                <w:rFonts w:ascii="Calibri" w:cs="Calibri" w:eastAsia="Calibri" w:hAnsi="Calibri"/>
                <w:color w:val="B2C8D8"/>
                <w:sz w:val="17"/>
                <w:szCs w:val="17"/>
              </w:rPr>
              <w:t xml:space="preserve">BPMN 2.0 / UML</w:t>
            </w:r>
          </w:p>
          <w:p>
            <w:pPr>
              <w:spacing w:before="28" w:after="22"/>
            </w:pPr>
            <w:r>
              <w:rPr>
                <w:rFonts w:ascii="Calibri" w:cs="Calibri" w:eastAsia="Calibri" w:hAnsi="Calibri"/>
                <w:color w:val="B2C8D8"/>
                <w:sz w:val="17"/>
                <w:szCs w:val="17"/>
              </w:rPr>
              <w:t xml:space="preserve">Design Thinking</w:t>
            </w:r>
          </w:p>
          <w:p>
            <w:pPr>
              <w:pBdr>
                <w:bottom w:val="single" w:color="4ECDC4" w:sz="6" w:space="4"/>
              </w:pBdr>
              <w:spacing w:before="220" w:after="60"/>
            </w:pPr>
            <w:r>
              <w:rPr>
                <w:rFonts w:ascii="Calibri" w:cs="Calibri" w:eastAsia="Calibri" w:hAnsi="Calibri"/>
                <w:b/>
                <w:bCs/>
                <w:caps/>
                <w:color w:val="B2DFDB"/>
                <w:sz w:val="19"/>
                <w:szCs w:val="19"/>
              </w:rPr>
              <w:t xml:space="preserve">Education</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M.B.A. – Booth School</w:t>
            </w:r>
          </w:p>
          <w:p>
            <w:pPr>
              <w:spacing w:before="28" w:after="22"/>
            </w:pPr>
            <w:r>
              <w:rPr>
                <w:rFonts w:ascii="Calibri" w:cs="Calibri" w:eastAsia="Calibri" w:hAnsi="Calibri"/>
                <w:color w:val="B2C8D8"/>
                <w:sz w:val="17"/>
                <w:szCs w:val="17"/>
              </w:rPr>
              <w:t xml:space="preserve">University of Chicago | 2013</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B.S. Information Systems</w:t>
            </w:r>
          </w:p>
          <w:p>
            <w:pPr>
              <w:spacing w:before="28" w:after="22"/>
            </w:pPr>
            <w:r>
              <w:rPr>
                <w:rFonts w:ascii="Calibri" w:cs="Calibri" w:eastAsia="Calibri" w:hAnsi="Calibri"/>
                <w:color w:val="B2C8D8"/>
                <w:sz w:val="17"/>
                <w:szCs w:val="17"/>
              </w:rPr>
              <w:t xml:space="preserve">Northwestern | 2011</w:t>
            </w:r>
          </w:p>
          <w:p>
            <w:pPr>
              <w:pBdr>
                <w:bottom w:val="single" w:color="4ECDC4" w:sz="6" w:space="4"/>
              </w:pBdr>
              <w:spacing w:before="220" w:after="60"/>
            </w:pPr>
            <w:r>
              <w:rPr>
                <w:rFonts w:ascii="Calibri" w:cs="Calibri" w:eastAsia="Calibri" w:hAnsi="Calibri"/>
                <w:b/>
                <w:bCs/>
                <w:caps/>
                <w:color w:val="B2DFDB"/>
                <w:sz w:val="19"/>
                <w:szCs w:val="19"/>
              </w:rPr>
              <w:t xml:space="preserve">Certifications</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PMP – Project Management</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CBAP – Business Analysis</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Lean Six Sigma Black Belt</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SAFe 6 Product Owner</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Tableau Desktop Specialist</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Salesforce Admin Certified</w:t>
            </w:r>
          </w:p>
          <w:p>
            <w:pPr>
              <w:pBdr>
                <w:bottom w:val="single" w:color="4ECDC4" w:sz="6" w:space="4"/>
              </w:pBdr>
              <w:spacing w:before="220" w:after="60"/>
            </w:pPr>
            <w:r>
              <w:rPr>
                <w:rFonts w:ascii="Calibri" w:cs="Calibri" w:eastAsia="Calibri" w:hAnsi="Calibri"/>
                <w:b/>
                <w:bCs/>
                <w:caps/>
                <w:color w:val="B2DFDB"/>
                <w:sz w:val="19"/>
                <w:szCs w:val="19"/>
              </w:rPr>
              <w:t xml:space="preserve">Languages</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English – Native</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Korean – Conversational</w:t>
            </w:r>
          </w:p>
        </w:tc>
        <w:tc>
          <w:tcPr>
            <w:tcW w:type="dxa" w:w="80"/>
            <w:tcBorders>
              <w:top w:val="none"/>
              <w:left w:val="none"/>
              <w:bottom w:val="none"/>
              <w:right w:val="none"/>
            </w:tcBorders>
            <w:shd w:fill="FFFFFF" w:val="clear"/>
          </w:tcPr>
          <w:p>
            <w:r>
              <w:rPr>
                <w:rFonts w:ascii="Calibri" w:cs="Calibri" w:eastAsia="Calibri" w:hAnsi="Calibri"/>
              </w:rPr>
              <w:t xml:space="preserve"/>
            </w:r>
          </w:p>
        </w:tc>
        <w:tc>
          <w:tcPr>
            <w:tcW w:type="dxa" w:w="6520"/>
            <w:tcBorders>
              <w:top w:val="none"/>
              <w:left w:val="none"/>
              <w:bottom w:val="none"/>
              <w:right w:val="none"/>
            </w:tcBorders>
            <w:shd w:fill="FFFFFF" w:val="clear"/>
            <w:tcMar>
              <w:top w:type="dxa" w:w="60"/>
              <w:left w:type="dxa" w:w="200"/>
              <w:bottom w:type="dxa" w:w="60"/>
              <w:right w:type="dxa" w:w="100"/>
            </w:tcMar>
          </w:tcPr>
          <w:p>
            <w:pPr>
              <w:spacing w:before="170" w:after="20"/>
            </w:pPr>
            <w:r>
              <w:rPr>
                <w:rFonts w:ascii="Calibri" w:cs="Calibri" w:eastAsia="Calibri" w:hAnsi="Calibri"/>
                <w:b/>
                <w:bCs/>
                <w:color w:val="0D1E29"/>
                <w:sz w:val="21"/>
                <w:szCs w:val="21"/>
              </w:rPr>
              <w:t xml:space="preserve">Business Analyst</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Walgreens Boots Alliance</w:t>
            </w:r>
          </w:p>
          <w:p>
            <w:pPr>
              <w:spacing w:before="0" w:after="55"/>
            </w:pPr>
            <w:r>
              <w:rPr>
                <w:rFonts w:ascii="Calibri" w:cs="Calibri" w:eastAsia="Calibri" w:hAnsi="Calibri"/>
                <w:i/>
                <w:iCs/>
                <w:color w:val="888888"/>
                <w:sz w:val="18"/>
                <w:szCs w:val="18"/>
              </w:rPr>
              <w:t xml:space="preserve">July 2013 – March 2015</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pStyle w:val="ListParagraph"/>
              <w:numPr>
                <w:ilvl w:val="0"/>
                <w:numId w:val="2"/>
              </w:numPr>
              <w:spacing w:before="28" w:after="28"/>
            </w:pPr>
            <w:r>
              <w:rPr>
                <w:rFonts w:ascii="Calibri" w:cs="Calibri" w:eastAsia="Calibri" w:hAnsi="Calibri"/>
                <w:color w:val="0D1E29"/>
                <w:sz w:val="19"/>
                <w:szCs w:val="19"/>
              </w:rPr>
              <w:t xml:space="preserve">Led requirements analysis for pharmacy inventory management system (Oracle ERP) serving 8,000+ retail locations; produced functional specifications enabling $8M inventory optimization through demand forecasting.</w:t>
            </w:r>
          </w:p>
          <w:p>
            <w:pPr>
              <w:pStyle w:val="ListParagraph"/>
              <w:numPr>
                <w:ilvl w:val="0"/>
                <w:numId w:val="2"/>
              </w:numPr>
              <w:spacing w:before="28" w:after="28"/>
            </w:pPr>
            <w:r>
              <w:rPr>
                <w:rFonts w:ascii="Calibri" w:cs="Calibri" w:eastAsia="Calibri" w:hAnsi="Calibri"/>
                <w:color w:val="0D1E29"/>
                <w:sz w:val="19"/>
                <w:szCs w:val="19"/>
              </w:rPr>
              <w:t xml:space="preserve">Conducted process mapping workshops with 30+ pharmacy operations stakeholders; identified 15 automation opportunities reducing manual data entry by 60% across 3 operational workflows.</w:t>
            </w:r>
          </w:p>
          <w:p>
            <w:pPr>
              <w:spacing w:before="170" w:after="20"/>
            </w:pPr>
            <w:r>
              <w:rPr>
                <w:rFonts w:ascii="Calibri" w:cs="Calibri" w:eastAsia="Calibri" w:hAnsi="Calibri"/>
                <w:b/>
                <w:bCs/>
                <w:color w:val="0D1E29"/>
                <w:sz w:val="21"/>
                <w:szCs w:val="21"/>
              </w:rPr>
              <w:t xml:space="preserve">Junior Business Analyst</w:t>
            </w:r>
            <w:r>
              <w:rPr>
                <w:rFonts w:ascii="Calibri" w:cs="Calibri" w:eastAsia="Calibri" w:hAnsi="Calibri"/>
                <w:color w:val="AAAAAA"/>
                <w:sz w:val="18"/>
                <w:szCs w:val="18"/>
              </w:rPr>
              <w:t xml:space="preserve">  |  </w:t>
            </w:r>
            <w:r>
              <w:rPr>
                <w:rFonts w:ascii="Calibri" w:cs="Calibri" w:eastAsia="Calibri" w:hAnsi="Calibri"/>
                <w:b/>
                <w:bCs/>
                <w:color w:val="4ECDC4"/>
                <w:sz w:val="21"/>
                <w:szCs w:val="21"/>
              </w:rPr>
              <w:t xml:space="preserve">Deloitte</w:t>
            </w:r>
          </w:p>
          <w:p>
            <w:pPr>
              <w:spacing w:before="0" w:after="55"/>
            </w:pPr>
            <w:r>
              <w:rPr>
                <w:rFonts w:ascii="Calibri" w:cs="Calibri" w:eastAsia="Calibri" w:hAnsi="Calibri"/>
                <w:i/>
                <w:iCs/>
                <w:color w:val="888888"/>
                <w:sz w:val="18"/>
                <w:szCs w:val="18"/>
              </w:rPr>
              <w:t xml:space="preserve">September 2011 – June 2013</w:t>
            </w:r>
            <w:r>
              <w:rPr>
                <w:rFonts w:ascii="Calibri" w:cs="Calibri" w:eastAsia="Calibri" w:hAnsi="Calibri"/>
                <w:color w:val="CCCCCC"/>
                <w:sz w:val="17"/>
                <w:szCs w:val="17"/>
              </w:rPr>
              <w:t xml:space="preserve">  •  </w:t>
            </w:r>
            <w:r>
              <w:rPr>
                <w:rFonts w:ascii="Calibri" w:cs="Calibri" w:eastAsia="Calibri" w:hAnsi="Calibri"/>
                <w:i/>
                <w:iCs/>
                <w:color w:val="888888"/>
                <w:sz w:val="18"/>
                <w:szCs w:val="18"/>
              </w:rPr>
              <w:t xml:space="preserve">Chicago, IL</w:t>
            </w:r>
          </w:p>
          <w:p>
            <w:pPr>
              <w:pStyle w:val="ListParagraph"/>
              <w:numPr>
                <w:ilvl w:val="0"/>
                <w:numId w:val="2"/>
              </w:numPr>
              <w:spacing w:before="28" w:after="28"/>
            </w:pPr>
            <w:r>
              <w:rPr>
                <w:rFonts w:ascii="Calibri" w:cs="Calibri" w:eastAsia="Calibri" w:hAnsi="Calibri"/>
                <w:color w:val="0D1E29"/>
                <w:sz w:val="19"/>
                <w:szCs w:val="19"/>
              </w:rPr>
              <w:t xml:space="preserve">Supported ERP implementation requirements for 3 Midwest manufacturing clients; gathered and documented 300+ functional requirements and participated in solution design workshops.</w:t>
            </w:r>
          </w:p>
        </w:tc>
      </w:tr>
    </w:tbl>
    <w:tbl>
      <w:tblPr>
        <w:tblW w:type="dxa" w:w="9500"/>
        <w:tblBorders>
          <w:top w:val="none"/>
          <w:left w:val="none"/>
          <w:bottom w:val="none"/>
          <w:right w:val="none"/>
          <w:insideH w:val="single" w:color="auto" w:sz="4"/>
          <w:insideV w:val="single" w:color="auto" w:sz="4"/>
        </w:tblBorders>
      </w:tblPr>
      <w:tblGrid>
        <w:gridCol w:w="2900"/>
        <w:gridCol w:w="80"/>
        <w:gridCol w:w="6520"/>
      </w:tblGrid>
      <w:tr>
        <w:tc>
          <w:tcPr>
            <w:tcW w:type="dxa" w:w="2900"/>
            <w:tcBorders>
              <w:top w:val="none"/>
              <w:left w:val="none"/>
              <w:bottom w:val="none"/>
              <w:right w:val="none"/>
            </w:tcBorders>
            <w:shd w:fill="1A2E3D" w:val="clear"/>
            <w:tcMar>
              <w:top w:type="dxa" w:w="80"/>
              <w:left w:type="dxa" w:w="180"/>
              <w:bottom w:type="dxa" w:w="80"/>
              <w:right w:type="dxa" w:w="150"/>
            </w:tcMar>
          </w:tcPr>
          <w:p>
            <w:pPr>
              <w:pBdr>
                <w:bottom w:val="single" w:color="4ECDC4" w:sz="6" w:space="4"/>
              </w:pBdr>
              <w:spacing w:before="220" w:after="60"/>
            </w:pPr>
            <w:r>
              <w:rPr>
                <w:rFonts w:ascii="Calibri" w:cs="Calibri" w:eastAsia="Calibri" w:hAnsi="Calibri"/>
                <w:b/>
                <w:bCs/>
                <w:caps/>
                <w:color w:val="B2DFDB"/>
                <w:sz w:val="19"/>
                <w:szCs w:val="19"/>
              </w:rPr>
              <w:t xml:space="preserve">Awards</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Accenture Outstanding Delivery Award 2022</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IIBA Business Analysis Award 2021</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UHG Excellence in Innovation 2017</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University of Chicago MBA Honor Society</w:t>
            </w:r>
          </w:p>
          <w:p>
            <w:pPr>
              <w:spacing w:before="44" w:after="36"/>
            </w:pPr>
            <w:r>
              <w:rPr>
                <w:rFonts w:ascii="Calibri" w:cs="Calibri" w:eastAsia="Calibri" w:hAnsi="Calibri"/>
                <w:color w:val="4ECDC4"/>
                <w:sz w:val="17"/>
                <w:szCs w:val="17"/>
              </w:rPr>
              <w:t xml:space="preserve">▸ </w:t>
            </w:r>
            <w:r>
              <w:rPr>
                <w:rFonts w:ascii="Calibri" w:cs="Calibri" w:eastAsia="Calibri" w:hAnsi="Calibri"/>
                <w:color w:val="D0E4F0"/>
                <w:sz w:val="17"/>
                <w:szCs w:val="17"/>
              </w:rPr>
              <w:t xml:space="preserve">Lean Six Sigma Master Award 2019</w:t>
            </w:r>
          </w:p>
        </w:tc>
        <w:tc>
          <w:tcPr>
            <w:tcW w:type="dxa" w:w="80"/>
            <w:tcBorders>
              <w:top w:val="none"/>
              <w:left w:val="none"/>
              <w:bottom w:val="none"/>
              <w:right w:val="none"/>
            </w:tcBorders>
            <w:shd w:fill="FFFFFF" w:val="clear"/>
          </w:tcPr>
          <w:p>
            <w:r>
              <w:rPr>
                <w:rFonts w:ascii="Calibri" w:cs="Calibri" w:eastAsia="Calibri" w:hAnsi="Calibri"/>
              </w:rPr>
              <w:t xml:space="preserve"/>
            </w:r>
          </w:p>
        </w:tc>
        <w:tc>
          <w:tcPr>
            <w:tcW w:type="dxa" w:w="6520"/>
            <w:tcBorders>
              <w:top w:val="none"/>
              <w:left w:val="none"/>
              <w:bottom w:val="none"/>
              <w:right w:val="none"/>
            </w:tcBorders>
            <w:shd w:fill="FFFFFF" w:val="clear"/>
            <w:tcMar>
              <w:top w:type="dxa" w:w="60"/>
              <w:left w:type="dxa" w:w="200"/>
              <w:bottom w:type="dxa" w:w="60"/>
              <w:right w:type="dxa" w:w="100"/>
            </w:tcMar>
          </w:tcPr>
          <w:p>
            <w:pPr>
              <w:pBdr>
                <w:bottom w:val="single" w:color="4ECDC4" w:sz="14" w:space="4"/>
              </w:pBdr>
              <w:spacing w:before="260" w:after="80"/>
            </w:pPr>
            <w:r>
              <w:rPr>
                <w:rFonts w:ascii="Calibri" w:cs="Calibri" w:eastAsia="Calibri" w:hAnsi="Calibri"/>
                <w:b/>
                <w:bCs/>
                <w:caps/>
                <w:color w:val="0D1E29"/>
                <w:sz w:val="25"/>
                <w:szCs w:val="25"/>
              </w:rPr>
              <w:t xml:space="preserve">Key Projects</w:t>
            </w:r>
          </w:p>
          <w:p>
            <w:pPr>
              <w:pStyle w:val="ListParagraph"/>
              <w:numPr>
                <w:ilvl w:val="0"/>
                <w:numId w:val="2"/>
              </w:numPr>
              <w:spacing w:before="32" w:after="32"/>
            </w:pPr>
            <w:r>
              <w:rPr>
                <w:rFonts w:ascii="Calibri" w:cs="Calibri" w:eastAsia="Calibri" w:hAnsi="Calibri"/>
                <w:b/>
                <w:bCs/>
                <w:color w:val="4ECDC4"/>
                <w:sz w:val="19"/>
                <w:szCs w:val="19"/>
              </w:rPr>
              <w:t xml:space="preserve">Aetna Claims Digital Transformation (2020-2022): </w:t>
            </w:r>
            <w:r>
              <w:rPr>
                <w:rFonts w:ascii="Calibri" w:cs="Calibri" w:eastAsia="Calibri" w:hAnsi="Calibri"/>
                <w:color w:val="0D1E29"/>
                <w:sz w:val="19"/>
                <w:szCs w:val="19"/>
              </w:rPr>
              <w:t xml:space="preserve">Led requirements for SAP + Salesforce implementation across 5 claims processing workflows; identified 45 inefficiencies delivering $18M annual savings and 40% reduction in claims processing cycle time.</w:t>
            </w:r>
          </w:p>
          <w:p>
            <w:pPr>
              <w:pStyle w:val="ListParagraph"/>
              <w:numPr>
                <w:ilvl w:val="0"/>
                <w:numId w:val="2"/>
              </w:numPr>
              <w:spacing w:before="32" w:after="32"/>
            </w:pPr>
            <w:r>
              <w:rPr>
                <w:rFonts w:ascii="Calibri" w:cs="Calibri" w:eastAsia="Calibri" w:hAnsi="Calibri"/>
                <w:b/>
                <w:bCs/>
                <w:color w:val="4ECDC4"/>
                <w:sz w:val="19"/>
                <w:szCs w:val="19"/>
              </w:rPr>
              <w:t xml:space="preserve">JPMorgan Banking Platform Modernization (2019): </w:t>
            </w:r>
            <w:r>
              <w:rPr>
                <w:rFonts w:ascii="Calibri" w:cs="Calibri" w:eastAsia="Calibri" w:hAnsi="Calibri"/>
                <w:color w:val="0D1E29"/>
                <w:sz w:val="19"/>
                <w:szCs w:val="19"/>
              </w:rPr>
              <w:t xml:space="preserve">Facilitated 200+ requirements sessions across 8 business units; produced 500-page functional specification enabling successful delivery of $200M retail banking platform modernization on time.</w:t>
            </w:r>
          </w:p>
          <w:p>
            <w:pPr>
              <w:pStyle w:val="ListParagraph"/>
              <w:numPr>
                <w:ilvl w:val="0"/>
                <w:numId w:val="2"/>
              </w:numPr>
              <w:spacing w:before="32" w:after="32"/>
            </w:pPr>
            <w:r>
              <w:rPr>
                <w:rFonts w:ascii="Calibri" w:cs="Calibri" w:eastAsia="Calibri" w:hAnsi="Calibri"/>
                <w:b/>
                <w:bCs/>
                <w:color w:val="4ECDC4"/>
                <w:sz w:val="19"/>
                <w:szCs w:val="19"/>
              </w:rPr>
              <w:t xml:space="preserve">UHG Claims Adjudication System (2017): </w:t>
            </w:r>
            <w:r>
              <w:rPr>
                <w:rFonts w:ascii="Calibri" w:cs="Calibri" w:eastAsia="Calibri" w:hAnsi="Calibri"/>
                <w:color w:val="0D1E29"/>
                <w:sz w:val="19"/>
                <w:szCs w:val="19"/>
              </w:rPr>
              <w:t xml:space="preserve">Documented 800+ business rules in BPMN; reduced development rework 45% and contributed to 99.8% automated adjudication rate for 2M+ daily claims processing.</w:t>
            </w:r>
          </w:p>
          <w:p>
            <w:pPr>
              <w:pStyle w:val="ListParagraph"/>
              <w:numPr>
                <w:ilvl w:val="0"/>
                <w:numId w:val="2"/>
              </w:numPr>
              <w:spacing w:before="32" w:after="32"/>
            </w:pPr>
            <w:r>
              <w:rPr>
                <w:rFonts w:ascii="Calibri" w:cs="Calibri" w:eastAsia="Calibri" w:hAnsi="Calibri"/>
                <w:b/>
                <w:bCs/>
                <w:color w:val="4ECDC4"/>
                <w:sz w:val="19"/>
                <w:szCs w:val="19"/>
              </w:rPr>
              <w:t xml:space="preserve">BA Center of Excellence (Accenture 2021): </w:t>
            </w:r>
            <w:r>
              <w:rPr>
                <w:rFonts w:ascii="Calibri" w:cs="Calibri" w:eastAsia="Calibri" w:hAnsi="Calibri"/>
                <w:color w:val="0D1E29"/>
                <w:sz w:val="19"/>
                <w:szCs w:val="19"/>
              </w:rPr>
              <w:t xml:space="preserve">Built BA methodology, templates, and certification program adopted by 150+ analysts; improved project delivery consistency by 30% and client satisfaction scores by 18 NPS points.</w:t>
            </w:r>
          </w:p>
          <w:p>
            <w:pPr>
              <w:pBdr>
                <w:bottom w:val="single" w:color="4ECDC4" w:sz="14" w:space="4"/>
              </w:pBdr>
              <w:spacing w:before="260" w:after="80"/>
            </w:pPr>
            <w:r>
              <w:rPr>
                <w:rFonts w:ascii="Calibri" w:cs="Calibri" w:eastAsia="Calibri" w:hAnsi="Calibri"/>
                <w:b/>
                <w:bCs/>
                <w:caps/>
                <w:color w:val="0D1E29"/>
                <w:sz w:val="25"/>
                <w:szCs w:val="25"/>
              </w:rPr>
              <w:t xml:space="preserve">References</w:t>
            </w:r>
          </w:p>
          <w:p>
            <w:pPr>
              <w:spacing w:before="60" w:after="0"/>
            </w:pPr>
            <w:r>
              <w:rPr>
                <w:rFonts w:ascii="Calibri" w:cs="Calibri" w:eastAsia="Calibri" w:hAnsi="Calibri"/>
                <w:i/>
                <w:iCs/>
                <w:color w:val="888888"/>
                <w:sz w:val="18"/>
                <w:szCs w:val="18"/>
              </w:rPr>
              <w:t xml:space="preserve">Professional references available upon request.</w:t>
            </w:r>
          </w:p>
          <w:p>
            <w:pPr>
              <w:spacing w:before="80"/>
            </w:pPr>
            <w:r>
              <w:rPr>
                <w:rFonts w:ascii="Calibri" w:cs="Calibri" w:eastAsia="Calibri" w:hAnsi="Calibri"/>
              </w:rPr>
              <w:t xml:space="preserve"/>
            </w:r>
          </w:p>
          <w:p>
            <w:pPr>
              <w:pBdr>
                <w:top w:val="single" w:color="4ECDC4" w:sz="8" w:space="8"/>
              </w:pBdr>
              <w:spacing w:before="120" w:after="0"/>
              <w:jc w:val="center"/>
            </w:pPr>
            <w:r>
              <w:rPr>
                <w:rFonts w:ascii="Calibri" w:cs="Calibri" w:eastAsia="Calibri" w:hAnsi="Calibri"/>
                <w:i/>
                <w:iCs/>
                <w:color w:val="888888"/>
                <w:sz w:val="16"/>
                <w:szCs w:val="16"/>
              </w:rPr>
              <w:t xml:space="preserve">Morgan Lee  •  morgan.lee@bizanalyst.pro  •  (312) 774-6630</w:t>
            </w:r>
          </w:p>
        </w:tc>
      </w:tr>
    </w:tbl>
    <w:sectPr>
      <w:pgSz w:w="12240" w:h="15840" w:orient="portrait"/>
      <w:pgMar w:top="0" w:right="0" w:bottom="72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1E29"/>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2026-03-13T10:16:23.130Z</dcterms:created>
  <dcterms:modified xsi:type="dcterms:W3CDTF">2026-03-13T10:16:23.130Z</dcterms:modified>
</cp:coreProperties>
</file>

<file path=docProps/custom.xml><?xml version="1.0" encoding="utf-8"?>
<Properties xmlns="http://schemas.openxmlformats.org/officeDocument/2006/custom-properties" xmlns:vt="http://schemas.openxmlformats.org/officeDocument/2006/docPropsVTypes"/>
</file>