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Rajesh Kumar Venkataraman</w:t>
      </w:r>
    </w:p>
    <w:p>
      <w:pPr>
        <w:spacing w:before="0" w:after="40"/>
      </w:pPr>
      <w:r>
        <w:rPr>
          <w:rFonts w:ascii="Calibri" w:cs="Calibri" w:eastAsia="Calibri" w:hAnsi="Calibri"/>
          <w:b/>
          <w:bCs/>
          <w:i/>
          <w:iCs/>
          <w:color w:val="2E74B5"/>
          <w:sz w:val="26"/>
          <w:szCs w:val="26"/>
        </w:rPr>
        <w:t xml:space="preserve">Principal Software Engineer &amp; Cloud Solutions Architect</w:t>
      </w:r>
    </w:p>
    <w:p>
      <w:pPr>
        <w:pBdr>
          <w:bottom w:val="single" w:color="1F4E79" w:sz="14" w:space="1"/>
        </w:pBdr>
        <w:spacing w:before="0" w:after="60"/>
      </w:pPr>
      <w:r>
        <w:rPr>
          <w:rFonts w:ascii="Calibri" w:cs="Calibri" w:eastAsia="Calibri" w:hAnsi="Calibri"/>
          <w:color w:val="374151"/>
          <w:sz w:val="17"/>
          <w:szCs w:val="17"/>
        </w:rPr>
        <w:t xml:space="preserve">rajesh.venkataraman@techcorp.io   |   </w:t>
      </w:r>
      <w:r>
        <w:rPr>
          <w:rFonts w:ascii="Calibri" w:cs="Calibri" w:eastAsia="Calibri" w:hAnsi="Calibri"/>
          <w:color w:val="374151"/>
          <w:sz w:val="17"/>
          <w:szCs w:val="17"/>
        </w:rPr>
        <w:t xml:space="preserve">+1-415-882-3317   |   </w:t>
      </w:r>
      <w:r>
        <w:rPr>
          <w:rFonts w:ascii="Calibri" w:cs="Calibri" w:eastAsia="Calibri" w:hAnsi="Calibri"/>
          <w:color w:val="374151"/>
          <w:sz w:val="17"/>
          <w:szCs w:val="17"/>
        </w:rPr>
        <w:t xml:space="preserve">San Francisco, CA 94105   |   </w:t>
      </w:r>
      <w:r>
        <w:rPr>
          <w:rFonts w:ascii="Calibri" w:cs="Calibri" w:eastAsia="Calibri" w:hAnsi="Calibri"/>
          <w:color w:val="374151"/>
          <w:sz w:val="17"/>
          <w:szCs w:val="17"/>
        </w:rPr>
        <w:t xml:space="preserve">linkedin.com/in/rajeshvenkataraman   |   </w:t>
      </w:r>
      <w:r>
        <w:rPr>
          <w:rFonts w:ascii="Calibri" w:cs="Calibri" w:eastAsia="Calibri" w:hAnsi="Calibri"/>
          <w:color w:val="374151"/>
          <w:sz w:val="17"/>
          <w:szCs w:val="17"/>
        </w:rPr>
        <w:t xml:space="preserve">github.com/rvenkataraman   |   </w:t>
      </w:r>
      <w:r>
        <w:rPr>
          <w:rFonts w:ascii="Calibri" w:cs="Calibri" w:eastAsia="Calibri" w:hAnsi="Calibri"/>
          <w:color w:val="374151"/>
          <w:sz w:val="17"/>
          <w:szCs w:val="17"/>
        </w:rPr>
        <w:t xml:space="preserve">rajeshvenkataraman.dev</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Highly accomplished Principal Software Engineer and Cloud Solutions Architect with 13+ years of progressive experience designing, building, and operating mission-critical distributed systems at hyperscale. Demonstrated expertise in microservices architecture, event-driven systems, Kubernetes-based platform engineering, and cloud-native transformations on AWS, GCP, and Azure. Successfully led cross-functional engineering teams of 10–22 members across multiple time zones delivering transformative programs for Fortune 100 clients including Goldman Sachs, Salesforce, Adobe Systems, Citibank NA, and HSBC. Contributed to $28M in documented infrastructure cost savings and $120M+ in revenue-impacting engineering initiatives. Deep practitioner of Domain-Driven Design (DDD), hexagonal architecture, CQRS, and event sourcing. Passionate about building high-performing engineering cultures, mentoring talent, and establishing engineering excellence through platform engineering, inner source practices, and developer experience (DevEx) improvements. Frequent speaker at QCon, Devoxx, and JavaOne. Open source contributor to Apache Kafka, Kubernetes (SIG-Apps), and Spring Boot. Authorized to work in the United States; fluent in English, Tamil, and Hindi.</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Programming Languages:  </w:t>
      </w:r>
      <w:r>
        <w:rPr>
          <w:rFonts w:ascii="Calibri" w:cs="Calibri" w:eastAsia="Calibri" w:hAnsi="Calibri"/>
          <w:color w:val="374151"/>
          <w:sz w:val="17"/>
          <w:szCs w:val="17"/>
        </w:rPr>
        <w:t xml:space="preserve">Java 21 (LTS)  •  Python 3.12  •  Go 1.22  •  TypeScript 5.x  •  Scala 3.x  •  Rust 1.78  •  Kotlin 2.0  •  SQL  •  Bash/Zsh  •  Groovy</w:t>
      </w:r>
    </w:p>
    <w:p>
      <w:pPr>
        <w:spacing w:before="50" w:after="30"/>
      </w:pPr>
      <w:r>
        <w:rPr>
          <w:rFonts w:ascii="Calibri" w:cs="Calibri" w:eastAsia="Calibri" w:hAnsi="Calibri"/>
          <w:b/>
          <w:bCs/>
          <w:color w:val="1F4E79"/>
          <w:sz w:val="18"/>
          <w:szCs w:val="18"/>
        </w:rPr>
        <w:t xml:space="preserve">Backend Frameworks:  </w:t>
      </w:r>
      <w:r>
        <w:rPr>
          <w:rFonts w:ascii="Calibri" w:cs="Calibri" w:eastAsia="Calibri" w:hAnsi="Calibri"/>
          <w:color w:val="374151"/>
          <w:sz w:val="17"/>
          <w:szCs w:val="17"/>
        </w:rPr>
        <w:t xml:space="preserve">Spring Boot 3.2  •  Spring Cloud 2023  •  Micronaut 4.x  •  Quarkus 3.x  •  FastAPI 0.111  •  Django REST 3.15  •  Vert.x 4.5  •  Akka 2.9</w:t>
      </w:r>
    </w:p>
    <w:p>
      <w:pPr>
        <w:spacing w:before="50" w:after="30"/>
      </w:pPr>
      <w:r>
        <w:rPr>
          <w:rFonts w:ascii="Calibri" w:cs="Calibri" w:eastAsia="Calibri" w:hAnsi="Calibri"/>
          <w:b/>
          <w:bCs/>
          <w:color w:val="1F4E79"/>
          <w:sz w:val="18"/>
          <w:szCs w:val="18"/>
        </w:rPr>
        <w:t xml:space="preserve">Messaging &amp; Streaming:  </w:t>
      </w:r>
      <w:r>
        <w:rPr>
          <w:rFonts w:ascii="Calibri" w:cs="Calibri" w:eastAsia="Calibri" w:hAnsi="Calibri"/>
          <w:color w:val="374151"/>
          <w:sz w:val="17"/>
          <w:szCs w:val="17"/>
        </w:rPr>
        <w:t xml:space="preserve">Apache Kafka 3.7  •  Apache Flink 1.19  •  Apache Spark Streaming  •  Apache Pulsar 3.x  •  RabbitMQ 3.13  •  AWS Kinesis  •  GCP Pub/Sub  •  NATS JetStream</w:t>
      </w:r>
    </w:p>
    <w:p>
      <w:pPr>
        <w:spacing w:before="50" w:after="30"/>
      </w:pPr>
      <w:r>
        <w:rPr>
          <w:rFonts w:ascii="Calibri" w:cs="Calibri" w:eastAsia="Calibri" w:hAnsi="Calibri"/>
          <w:b/>
          <w:bCs/>
          <w:color w:val="1F4E79"/>
          <w:sz w:val="18"/>
          <w:szCs w:val="18"/>
        </w:rPr>
        <w:t xml:space="preserve">Databases:  </w:t>
      </w:r>
      <w:r>
        <w:rPr>
          <w:rFonts w:ascii="Calibri" w:cs="Calibri" w:eastAsia="Calibri" w:hAnsi="Calibri"/>
          <w:color w:val="374151"/>
          <w:sz w:val="17"/>
          <w:szCs w:val="17"/>
        </w:rPr>
        <w:t xml:space="preserve">PostgreSQL 16  •  MySQL 8.4  •  MongoDB 7.x  •  Apache Cassandra 5.0  •  DynamoDB  •  Redis 7.x  •  Elasticsearch 8.x  •  Neo4j 5.x  •  ClickHouse  •  CockroachDB 23.x  •  Vitess</w:t>
      </w:r>
    </w:p>
    <w:p>
      <w:pPr>
        <w:spacing w:before="50" w:after="30"/>
      </w:pPr>
      <w:r>
        <w:rPr>
          <w:rFonts w:ascii="Calibri" w:cs="Calibri" w:eastAsia="Calibri" w:hAnsi="Calibri"/>
          <w:b/>
          <w:bCs/>
          <w:color w:val="1F4E79"/>
          <w:sz w:val="18"/>
          <w:szCs w:val="18"/>
        </w:rPr>
        <w:t xml:space="preserve">Cloud Platforms:  </w:t>
      </w:r>
      <w:r>
        <w:rPr>
          <w:rFonts w:ascii="Calibri" w:cs="Calibri" w:eastAsia="Calibri" w:hAnsi="Calibri"/>
          <w:color w:val="374151"/>
          <w:sz w:val="17"/>
          <w:szCs w:val="17"/>
        </w:rPr>
        <w:t xml:space="preserve">AWS (EC2, EKS, RDS, Aurora, Lambda, S3, CloudFront, IAM, SQS, SNS, Glue, EMR, Step Functions)  •  GCP (GKE, BigQuery, Pub/Sub, Cloud Run, Vertex AI, Spanner)  •  Azure (AKS, CosmosDB, Event Hub, Functions, Synapse Analytics)</w:t>
      </w:r>
    </w:p>
    <w:p>
      <w:pPr>
        <w:spacing w:before="50" w:after="30"/>
      </w:pPr>
      <w:r>
        <w:rPr>
          <w:rFonts w:ascii="Calibri" w:cs="Calibri" w:eastAsia="Calibri" w:hAnsi="Calibri"/>
          <w:b/>
          <w:bCs/>
          <w:color w:val="1F4E79"/>
          <w:sz w:val="18"/>
          <w:szCs w:val="18"/>
        </w:rPr>
        <w:t xml:space="preserve">Container &amp; Orchestration:  </w:t>
      </w:r>
      <w:r>
        <w:rPr>
          <w:rFonts w:ascii="Calibri" w:cs="Calibri" w:eastAsia="Calibri" w:hAnsi="Calibri"/>
          <w:color w:val="374151"/>
          <w:sz w:val="17"/>
          <w:szCs w:val="17"/>
        </w:rPr>
        <w:t xml:space="preserve">Kubernetes 1.30  •  Docker  •  Helm 3.x  •  Kustomize  •  ArgoCD 2.11  •  Flux CD 2.x  •  Rancher  •  OpenShift 4.14</w:t>
      </w:r>
    </w:p>
    <w:p>
      <w:pPr>
        <w:spacing w:before="50" w:after="30"/>
      </w:pPr>
      <w:r>
        <w:rPr>
          <w:rFonts w:ascii="Calibri" w:cs="Calibri" w:eastAsia="Calibri" w:hAnsi="Calibri"/>
          <w:b/>
          <w:bCs/>
          <w:color w:val="1F4E79"/>
          <w:sz w:val="18"/>
          <w:szCs w:val="18"/>
        </w:rPr>
        <w:t xml:space="preserve">Infrastructure as Code:  </w:t>
      </w:r>
      <w:r>
        <w:rPr>
          <w:rFonts w:ascii="Calibri" w:cs="Calibri" w:eastAsia="Calibri" w:hAnsi="Calibri"/>
          <w:color w:val="374151"/>
          <w:sz w:val="17"/>
          <w:szCs w:val="17"/>
        </w:rPr>
        <w:t xml:space="preserve">Terraform 1.8  •  Pulumi 3.x  •  AWS CDK v2  •  Ansible 2.16  •  Helm Charts  •  Crossplane 1.16  •  Atlantis</w:t>
      </w:r>
    </w:p>
    <w:p>
      <w:pPr>
        <w:spacing w:before="50" w:after="30"/>
      </w:pPr>
      <w:r>
        <w:rPr>
          <w:rFonts w:ascii="Calibri" w:cs="Calibri" w:eastAsia="Calibri" w:hAnsi="Calibri"/>
          <w:b/>
          <w:bCs/>
          <w:color w:val="1F4E79"/>
          <w:sz w:val="18"/>
          <w:szCs w:val="18"/>
        </w:rPr>
        <w:t xml:space="preserve">Observability:  </w:t>
      </w:r>
      <w:r>
        <w:rPr>
          <w:rFonts w:ascii="Calibri" w:cs="Calibri" w:eastAsia="Calibri" w:hAnsi="Calibri"/>
          <w:color w:val="374151"/>
          <w:sz w:val="17"/>
          <w:szCs w:val="17"/>
        </w:rPr>
        <w:t xml:space="preserve">Datadog APM  •  Prometheus 2.x  •  Grafana 11.x  •  Jaeger 1.x  •  OpenTelemetry SDK  •  Elastic APM  •  AWS CloudWatch  •  VictoriaMetrics  •  Thanos</w:t>
      </w:r>
    </w:p>
    <w:p>
      <w:pPr>
        <w:spacing w:before="50" w:after="30"/>
      </w:pPr>
      <w:r>
        <w:rPr>
          <w:rFonts w:ascii="Calibri" w:cs="Calibri" w:eastAsia="Calibri" w:hAnsi="Calibri"/>
          <w:b/>
          <w:bCs/>
          <w:color w:val="1F4E79"/>
          <w:sz w:val="18"/>
          <w:szCs w:val="18"/>
        </w:rPr>
        <w:t xml:space="preserve">CI/CD &amp; DevOps:  </w:t>
      </w:r>
      <w:r>
        <w:rPr>
          <w:rFonts w:ascii="Calibri" w:cs="Calibri" w:eastAsia="Calibri" w:hAnsi="Calibri"/>
          <w:color w:val="374151"/>
          <w:sz w:val="17"/>
          <w:szCs w:val="17"/>
        </w:rPr>
        <w:t xml:space="preserve">GitHub Actions  •  GitLab CI/CD  •  Jenkins X  •  Tekton Pipelines  •  ArgoCD  •  Spinnaker  •  SonarQube 10.x  •  Checkmarx  •  Trivy  •  Cosign/Sigstore</w:t>
      </w:r>
    </w:p>
    <w:p>
      <w:pPr>
        <w:spacing w:before="50" w:after="30"/>
      </w:pPr>
      <w:r>
        <w:rPr>
          <w:rFonts w:ascii="Calibri" w:cs="Calibri" w:eastAsia="Calibri" w:hAnsi="Calibri"/>
          <w:b/>
          <w:bCs/>
          <w:color w:val="1F4E79"/>
          <w:sz w:val="18"/>
          <w:szCs w:val="18"/>
        </w:rPr>
        <w:t xml:space="preserve">Architecture Patterns:  </w:t>
      </w:r>
      <w:r>
        <w:rPr>
          <w:rFonts w:ascii="Calibri" w:cs="Calibri" w:eastAsia="Calibri" w:hAnsi="Calibri"/>
          <w:color w:val="374151"/>
          <w:sz w:val="17"/>
          <w:szCs w:val="17"/>
        </w:rPr>
        <w:t xml:space="preserve">Microservices  •  Event-Driven Architecture  •  CQRS  •  Event Sourcing  •  Saga Pattern  •  API Gateway  •  BFF (Backend for Frontend)  •  Strangler Fig  •  Hexagonal Architecture  •  Domain-Driven Design</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Principal Software Engineer &amp; Cloud Architect</w:t>
      </w:r>
    </w:p>
    <w:p>
      <w:pPr>
        <w:spacing w:before="0" w:after="8"/>
      </w:pPr>
      <w:r>
        <w:rPr>
          <w:rFonts w:ascii="Calibri" w:cs="Calibri" w:eastAsia="Calibri" w:hAnsi="Calibri"/>
          <w:b/>
          <w:bCs/>
          <w:color w:val="2E74B5"/>
          <w:sz w:val="20"/>
          <w:szCs w:val="20"/>
        </w:rPr>
        <w:t xml:space="preserve">Salesforce Inc.</w:t>
      </w:r>
      <w:r>
        <w:rPr>
          <w:rFonts w:ascii="Calibri" w:cs="Calibri" w:eastAsia="Calibri" w:hAnsi="Calibri"/>
          <w:i/>
          <w:iCs/>
          <w:color w:val="6B7280"/>
          <w:sz w:val="18"/>
          <w:szCs w:val="18"/>
        </w:rPr>
        <w:t xml:space="preserve">   |   San Francisco, CA</w:t>
      </w:r>
      <w:r>
        <w:rPr>
          <w:rFonts w:ascii="Calibri" w:cs="Calibri" w:eastAsia="Calibri" w:hAnsi="Calibri"/>
          <w:b/>
          <w:bCs/>
          <w:color w:val="1F4E79"/>
          <w:sz w:val="18"/>
          <w:szCs w:val="18"/>
        </w:rPr>
        <w:t xml:space="preserve">   |   Mar 2020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Goldman Sachs Financial Risk Platform &amp; Marcus Consumer Bank</w:t>
      </w:r>
    </w:p>
    <w:p>
      <w:pPr>
        <w:spacing w:before="0" w:after="14"/>
      </w:pPr>
      <w:r>
        <w:rPr>
          <w:rFonts w:ascii="Calibri" w:cs="Calibri" w:eastAsia="Calibri" w:hAnsi="Calibri"/>
          <w:i/>
          <w:iCs/>
          <w:color w:val="4B5563"/>
          <w:sz w:val="18"/>
          <w:szCs w:val="18"/>
        </w:rPr>
        <w:t xml:space="preserve">Lead architect and engineering lead for Goldman Sachs's next-generation financial risk aggregation and consumer banking platforms. Oversee distributed team of 18 engineers across New York, London, and Bangalore. Own technical roadmap, architecture decisions, and cross-team API governance for 6 domain squads.</w:t>
      </w:r>
    </w:p>
    <w:p>
      <w:pPr>
        <w:pStyle w:val="ListParagraph"/>
        <w:numPr>
          <w:ilvl w:val="0"/>
          <w:numId w:val="2"/>
        </w:numPr>
        <w:spacing w:before="30" w:after="30"/>
      </w:pPr>
      <w:r>
        <w:rPr>
          <w:rFonts w:ascii="Calibri" w:cs="Calibri" w:eastAsia="Calibri" w:hAnsi="Calibri"/>
          <w:color w:val="1C1C1C"/>
          <w:sz w:val="18"/>
          <w:szCs w:val="18"/>
        </w:rPr>
        <w:t xml:space="preserve">Designed and led implementation of Goldman Sachs's real-time financial risk aggregation platform processing 4.2 million transactions per second using Apache Kafka 3.7 (500-broker cluster, 3PB retained data), Apache Flink 1.19 for stateful stream processing, and Java 21 virtual threads on AWS EKS — reducing trade settlement latency from 820ms average to 38ms p99.</w:t>
      </w:r>
    </w:p>
    <w:p>
      <w:pPr>
        <w:pStyle w:val="ListParagraph"/>
        <w:numPr>
          <w:ilvl w:val="0"/>
          <w:numId w:val="2"/>
        </w:numPr>
        <w:spacing w:before="30" w:after="30"/>
      </w:pPr>
      <w:r>
        <w:rPr>
          <w:rFonts w:ascii="Calibri" w:cs="Calibri" w:eastAsia="Calibri" w:hAnsi="Calibri"/>
          <w:color w:val="1C1C1C"/>
          <w:sz w:val="18"/>
          <w:szCs w:val="18"/>
        </w:rPr>
        <w:t xml:space="preserve">Architected decomposition of a 12-year-old J2EE monolith (2.8M lines of code) into 34 domain-bounded microservices using Spring Boot 3.2, gRPC, and Protocol Buffers 3 — executing the migration over 22 months using the Strangler Fig pattern with zero customer-facing downtime; deployment cycle dropped from 3 weeks to 6 hours via GitLab CI/ArgoCD.</w:t>
      </w:r>
    </w:p>
    <w:p>
      <w:pPr>
        <w:pStyle w:val="ListParagraph"/>
        <w:numPr>
          <w:ilvl w:val="0"/>
          <w:numId w:val="2"/>
        </w:numPr>
        <w:spacing w:before="30" w:after="30"/>
      </w:pPr>
      <w:r>
        <w:rPr>
          <w:rFonts w:ascii="Calibri" w:cs="Calibri" w:eastAsia="Calibri" w:hAnsi="Calibri"/>
          <w:color w:val="1C1C1C"/>
          <w:sz w:val="18"/>
          <w:szCs w:val="18"/>
        </w:rPr>
        <w:t xml:space="preserve">Implemented multi-region active-active architecture on AWS (us-east-1, eu-west-1, ap-southeast-1, ap-northeast-1) using DynamoDB Global Tables with custom conflict resolution, Route53 latency-based routing, and Cloudflare Argo Smart Routing — achieving 99.9999% availability SLA; survived 2 full AWS region brownouts without customer impact.</w:t>
      </w:r>
    </w:p>
    <w:p>
      <w:pPr>
        <w:pStyle w:val="ListParagraph"/>
        <w:numPr>
          <w:ilvl w:val="0"/>
          <w:numId w:val="2"/>
        </w:numPr>
        <w:spacing w:before="30" w:after="30"/>
      </w:pPr>
      <w:r>
        <w:rPr>
          <w:rFonts w:ascii="Calibri" w:cs="Calibri" w:eastAsia="Calibri" w:hAnsi="Calibri"/>
          <w:color w:val="1C1C1C"/>
          <w:sz w:val="18"/>
          <w:szCs w:val="18"/>
        </w:rPr>
        <w:t xml:space="preserve">Built automated chaos engineering framework integrating Chaos Monkey, LitmusChaos 3.x, and custom Fault Injection Testing (FIT) harness — uncovering 47 critical failure modes including 12 split-brain scenarios and 8 data consistency violations before production; estimated prevention of $9.4M in potential incident costs over 18 months.</w:t>
      </w:r>
    </w:p>
    <w:p>
      <w:pPr>
        <w:pStyle w:val="ListParagraph"/>
        <w:numPr>
          <w:ilvl w:val="0"/>
          <w:numId w:val="2"/>
        </w:numPr>
        <w:spacing w:before="30" w:after="30"/>
      </w:pPr>
      <w:r>
        <w:rPr>
          <w:rFonts w:ascii="Calibri" w:cs="Calibri" w:eastAsia="Calibri" w:hAnsi="Calibri"/>
          <w:color w:val="1C1C1C"/>
          <w:sz w:val="18"/>
          <w:szCs w:val="18"/>
        </w:rPr>
        <w:t xml:space="preserve">Designed enterprise-grade data lake ingestion platform using Apache Spark 3.5, Delta Lake 3.x, AWS Glue 4.0, and Apache Iceberg for Goldman's market data — ingesting 18TB/day of tick data, options chains, and corporate actions; enabling real-time portfolio Greeks computation for 1,400 institutional traders via Trino SQL.</w:t>
      </w:r>
    </w:p>
    <w:p>
      <w:pPr>
        <w:pStyle w:val="ListParagraph"/>
        <w:numPr>
          <w:ilvl w:val="0"/>
          <w:numId w:val="2"/>
        </w:numPr>
        <w:spacing w:before="30" w:after="30"/>
      </w:pPr>
      <w:r>
        <w:rPr>
          <w:rFonts w:ascii="Calibri" w:cs="Calibri" w:eastAsia="Calibri" w:hAnsi="Calibri"/>
          <w:color w:val="1C1C1C"/>
          <w:sz w:val="18"/>
          <w:szCs w:val="18"/>
        </w:rPr>
        <w:t xml:space="preserve">Established Platform Engineering Guild: standardized IaC with Terraform 1.8 and Atlantis GitOps workflow across 340 AWS accounts; created golden path service templates (Java, Go, Python) reducing new service onboarding from 4 days to 22 minutes; defined API design standards enforced via Spectral linting in CI.</w:t>
      </w:r>
    </w:p>
    <w:p>
      <w:pPr>
        <w:pStyle w:val="ListParagraph"/>
        <w:numPr>
          <w:ilvl w:val="0"/>
          <w:numId w:val="2"/>
        </w:numPr>
        <w:spacing w:before="30" w:after="30"/>
      </w:pPr>
      <w:r>
        <w:rPr>
          <w:rFonts w:ascii="Calibri" w:cs="Calibri" w:eastAsia="Calibri" w:hAnsi="Calibri"/>
          <w:color w:val="1C1C1C"/>
          <w:sz w:val="18"/>
          <w:szCs w:val="18"/>
        </w:rPr>
        <w:t xml:space="preserve">Delivered Marcus Consumer Bank's loan origination microservices on AWS Lambda and API Gateway processing 280,000 daily loan applications — implemented underwriting decision engine integrating Experian, TransUnion, and Equifax APIs with sub-300ms response time; achieved $840M monthly loan origination volume.</w:t>
      </w:r>
    </w:p>
    <w:p>
      <w:pPr>
        <w:pStyle w:val="ListParagraph"/>
        <w:numPr>
          <w:ilvl w:val="0"/>
          <w:numId w:val="2"/>
        </w:numPr>
        <w:spacing w:before="30" w:after="30"/>
      </w:pPr>
      <w:r>
        <w:rPr>
          <w:rFonts w:ascii="Calibri" w:cs="Calibri" w:eastAsia="Calibri" w:hAnsi="Calibri"/>
          <w:color w:val="1C1C1C"/>
          <w:sz w:val="18"/>
          <w:szCs w:val="18"/>
        </w:rPr>
        <w:t xml:space="preserve">Implemented FIPS 140-2 Level 2 compliant encryption architecture using AWS KMS (envelope encryption), mTLS via Istio 1.22, AWS PrivateLink for VPC isolation, and HashiCorp Vault 1.16 for dynamic credentials — enabling SOC 2 Type II, ISO 27001, and PCI-DSS 4.0 certifications.</w:t>
      </w:r>
    </w:p>
    <w:p>
      <w:pPr>
        <w:pStyle w:val="ListParagraph"/>
        <w:numPr>
          <w:ilvl w:val="0"/>
          <w:numId w:val="2"/>
        </w:numPr>
        <w:spacing w:before="30" w:after="30"/>
      </w:pPr>
      <w:r>
        <w:rPr>
          <w:rFonts w:ascii="Calibri" w:cs="Calibri" w:eastAsia="Calibri" w:hAnsi="Calibri"/>
          <w:color w:val="1C1C1C"/>
          <w:sz w:val="18"/>
          <w:szCs w:val="18"/>
        </w:rPr>
        <w:t xml:space="preserve">Built distributed rate limiting and API throttling system using Redis Cluster (Lua scripts + sliding window algorithm) protecting 34 microservices from 480M daily external API calls — prevented 14 DDoS events totaling $2.1M in estimated infrastructure savings.</w:t>
      </w:r>
    </w:p>
    <w:p>
      <w:pPr>
        <w:pStyle w:val="ListParagraph"/>
        <w:numPr>
          <w:ilvl w:val="0"/>
          <w:numId w:val="2"/>
        </w:numPr>
        <w:spacing w:before="30" w:after="30"/>
      </w:pPr>
      <w:r>
        <w:rPr>
          <w:rFonts w:ascii="Calibri" w:cs="Calibri" w:eastAsia="Calibri" w:hAnsi="Calibri"/>
          <w:color w:val="1C1C1C"/>
          <w:sz w:val="18"/>
          <w:szCs w:val="18"/>
        </w:rPr>
        <w:t xml:space="preserve">Mentored 8 engineers (3 junior, 3 mid-level, 2 senior) via structured 1:1 coaching, architecture review pairing, and inner-source contribution programs; 4 engineers promoted within 18 months including 2 to Staff Engineer level.</w:t>
      </w:r>
    </w:p>
    <w:p>
      <w:pPr>
        <w:pStyle w:val="ListParagraph"/>
        <w:numPr>
          <w:ilvl w:val="0"/>
          <w:numId w:val="2"/>
        </w:numPr>
        <w:spacing w:before="30" w:after="30"/>
      </w:pPr>
      <w:r>
        <w:rPr>
          <w:rFonts w:ascii="Calibri" w:cs="Calibri" w:eastAsia="Calibri" w:hAnsi="Calibri"/>
          <w:color w:val="1C1C1C"/>
          <w:sz w:val="18"/>
          <w:szCs w:val="18"/>
        </w:rPr>
        <w:t xml:space="preserve">Reduced AWS infrastructure spend from $4.8M/month to $2.9M/month ($23M annual savings) through Graviton3 migration (40% of fleet), Spot instance adoption for batch workloads (65%), Reserved Instance optimization, and S3 Intelligent-Tiering for 2PB cold data.</w:t>
      </w:r>
    </w:p>
    <w:p>
      <w:pPr>
        <w:pStyle w:val="ListParagraph"/>
        <w:numPr>
          <w:ilvl w:val="0"/>
          <w:numId w:val="2"/>
        </w:numPr>
        <w:spacing w:before="30" w:after="30"/>
      </w:pPr>
      <w:r>
        <w:rPr>
          <w:rFonts w:ascii="Calibri" w:cs="Calibri" w:eastAsia="Calibri" w:hAnsi="Calibri"/>
          <w:color w:val="1C1C1C"/>
          <w:sz w:val="18"/>
          <w:szCs w:val="18"/>
        </w:rPr>
        <w:t xml:space="preserve">Published 'Distributed Sagas at Goldman Scale' technical article on Salesforce Engineering Blog — 48,000 reads; presented architecture at QCon San Francisco 2023 and Kafka Summit 2023.</w:t>
      </w:r>
    </w:p>
    <w:p>
      <w:pPr>
        <w:spacing w:before="200" w:after="10"/>
      </w:pPr>
    </w:p>
    <w:p>
      <w:pPr>
        <w:spacing w:before="0" w:after="10"/>
      </w:pPr>
      <w:r>
        <w:rPr>
          <w:rFonts w:ascii="Calibri" w:cs="Calibri" w:eastAsia="Calibri" w:hAnsi="Calibri"/>
          <w:b/>
          <w:bCs/>
          <w:color w:val="1F4E79"/>
          <w:sz w:val="23"/>
          <w:szCs w:val="23"/>
        </w:rPr>
        <w:t xml:space="preserve">Senior Software Engineer → Tech Lead</w:t>
      </w:r>
    </w:p>
    <w:p>
      <w:pPr>
        <w:spacing w:before="0" w:after="8"/>
      </w:pPr>
      <w:r>
        <w:rPr>
          <w:rFonts w:ascii="Calibri" w:cs="Calibri" w:eastAsia="Calibri" w:hAnsi="Calibri"/>
          <w:b/>
          <w:bCs/>
          <w:color w:val="2E74B5"/>
          <w:sz w:val="20"/>
          <w:szCs w:val="20"/>
        </w:rPr>
        <w:t xml:space="preserve">Adobe Systems Incorporated</w:t>
      </w:r>
      <w:r>
        <w:rPr>
          <w:rFonts w:ascii="Calibri" w:cs="Calibri" w:eastAsia="Calibri" w:hAnsi="Calibri"/>
          <w:i/>
          <w:iCs/>
          <w:color w:val="6B7280"/>
          <w:sz w:val="18"/>
          <w:szCs w:val="18"/>
        </w:rPr>
        <w:t xml:space="preserve">   |   San Jose, CA</w:t>
      </w:r>
      <w:r>
        <w:rPr>
          <w:rFonts w:ascii="Calibri" w:cs="Calibri" w:eastAsia="Calibri" w:hAnsi="Calibri"/>
          <w:b/>
          <w:bCs/>
          <w:color w:val="1F4E79"/>
          <w:sz w:val="18"/>
          <w:szCs w:val="18"/>
        </w:rPr>
        <w:t xml:space="preserve">   |   Jun 2016 – Feb 2020</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Adobe Experience Cloud — Analytics, Campaign &amp; Real-Time CDP</w:t>
      </w:r>
    </w:p>
    <w:p>
      <w:pPr>
        <w:spacing w:before="0" w:after="14"/>
      </w:pPr>
      <w:r>
        <w:rPr>
          <w:rFonts w:ascii="Calibri" w:cs="Calibri" w:eastAsia="Calibri" w:hAnsi="Calibri"/>
          <w:i/>
          <w:iCs/>
          <w:color w:val="4B5563"/>
          <w:sz w:val="18"/>
          <w:szCs w:val="18"/>
        </w:rPr>
        <w:t xml:space="preserve">Technical lead for Adobe Analytics real-time data pipeline and Experience Cloud API platform serving 38,000 enterprise customers. Grew from individual contributor to team lead of 11 engineers.</w:t>
      </w:r>
    </w:p>
    <w:p>
      <w:pPr>
        <w:pStyle w:val="ListParagraph"/>
        <w:numPr>
          <w:ilvl w:val="0"/>
          <w:numId w:val="2"/>
        </w:numPr>
        <w:spacing w:before="30" w:after="30"/>
      </w:pPr>
      <w:r>
        <w:rPr>
          <w:rFonts w:ascii="Calibri" w:cs="Calibri" w:eastAsia="Calibri" w:hAnsi="Calibri"/>
          <w:color w:val="1C1C1C"/>
          <w:sz w:val="18"/>
          <w:szCs w:val="18"/>
        </w:rPr>
        <w:t xml:space="preserve">Designed and built Adobe Analytics Event Collection Service — a horizontally-scalable event ingestion layer using Apache Kafka (500-node, 14B events/day), Apache Flink for real-time aggregation, and Aerospike for low-latency session stitching — processing 14 billion raw analytics events daily across 38,000 enterprise customer properties including Microsoft, Coca-Cola, Nike, and Disney.</w:t>
      </w:r>
    </w:p>
    <w:p>
      <w:pPr>
        <w:pStyle w:val="ListParagraph"/>
        <w:numPr>
          <w:ilvl w:val="0"/>
          <w:numId w:val="2"/>
        </w:numPr>
        <w:spacing w:before="30" w:after="30"/>
      </w:pPr>
      <w:r>
        <w:rPr>
          <w:rFonts w:ascii="Calibri" w:cs="Calibri" w:eastAsia="Calibri" w:hAnsi="Calibri"/>
          <w:color w:val="1C1C1C"/>
          <w:sz w:val="18"/>
          <w:szCs w:val="18"/>
        </w:rPr>
        <w:t xml:space="preserve">Led migration of 220 Adobe Experience Cloud legacy Java EE services (deployed on JBoss 5/WebLogic 12c) to containerized Spring Boot 3.x microservices on GCP GKE 1.28 — executed over 30-month period using blue-green deployments; reduced infrastructure cost by $4.1M/year, improved p99 API latency by 68%, and achieved 4x deployment frequency.</w:t>
      </w:r>
    </w:p>
    <w:p>
      <w:pPr>
        <w:pStyle w:val="ListParagraph"/>
        <w:numPr>
          <w:ilvl w:val="0"/>
          <w:numId w:val="2"/>
        </w:numPr>
        <w:spacing w:before="30" w:after="30"/>
      </w:pPr>
      <w:r>
        <w:rPr>
          <w:rFonts w:ascii="Calibri" w:cs="Calibri" w:eastAsia="Calibri" w:hAnsi="Calibri"/>
          <w:color w:val="1C1C1C"/>
          <w:sz w:val="18"/>
          <w:szCs w:val="18"/>
        </w:rPr>
        <w:t xml:space="preserve">Architected Adobe Real-Time CDP's identity graph service using Apache Cassandra 4.x and custom graph traversal algorithms managing 9.4 billion identity edges (cookies, device IDs, CRM IDs, emails) — enabling real-time audience segmentation for 840M consumer profiles with &lt; 50ms lookup latency.</w:t>
      </w:r>
    </w:p>
    <w:p>
      <w:pPr>
        <w:pStyle w:val="ListParagraph"/>
        <w:numPr>
          <w:ilvl w:val="0"/>
          <w:numId w:val="2"/>
        </w:numPr>
        <w:spacing w:before="30" w:after="30"/>
      </w:pPr>
      <w:r>
        <w:rPr>
          <w:rFonts w:ascii="Calibri" w:cs="Calibri" w:eastAsia="Calibri" w:hAnsi="Calibri"/>
          <w:color w:val="1C1C1C"/>
          <w:sz w:val="18"/>
          <w:szCs w:val="18"/>
        </w:rPr>
        <w:t xml:space="preserve">Built ML-powered anomaly detection microservice for Adobe Campaign using Python, TensorFlow 2.14, and GCP Vertex AI — trained LSTM autoencoder on 3 years of campaign KPI time-series data; detected marketing anomalies within 90 seconds for 2,800 marketing operations teams globally with 97.2% precision.</w:t>
      </w:r>
    </w:p>
    <w:p>
      <w:pPr>
        <w:pStyle w:val="ListParagraph"/>
        <w:numPr>
          <w:ilvl w:val="0"/>
          <w:numId w:val="2"/>
        </w:numPr>
        <w:spacing w:before="30" w:after="30"/>
      </w:pPr>
      <w:r>
        <w:rPr>
          <w:rFonts w:ascii="Calibri" w:cs="Calibri" w:eastAsia="Calibri" w:hAnsi="Calibri"/>
          <w:color w:val="1C1C1C"/>
          <w:sz w:val="18"/>
          <w:szCs w:val="18"/>
        </w:rPr>
        <w:t xml:space="preserve">Implemented Adobe Experience Platform's GraphQL federation layer using Apollo Federation 2.8 and Apollo Router aggregating data from 40+ downstream REST/gRPC services — reduced average API payload by 62%, eliminated 78% of client-side data joins, and halved median response time from 340ms to 170ms.</w:t>
      </w:r>
    </w:p>
    <w:p>
      <w:pPr>
        <w:pStyle w:val="ListParagraph"/>
        <w:numPr>
          <w:ilvl w:val="0"/>
          <w:numId w:val="2"/>
        </w:numPr>
        <w:spacing w:before="30" w:after="30"/>
      </w:pPr>
      <w:r>
        <w:rPr>
          <w:rFonts w:ascii="Calibri" w:cs="Calibri" w:eastAsia="Calibri" w:hAnsi="Calibri"/>
          <w:color w:val="1C1C1C"/>
          <w:sz w:val="18"/>
          <w:szCs w:val="18"/>
        </w:rPr>
        <w:t xml:space="preserve">Designed Adobe's unified OAuth 2.0 / OpenID Connect authorization server on GCP GKE using Keycloak 24.x with Redis 7 token caching — supporting 280M monthly active users, 18B daily token validations, with sub-5ms median token introspection latency.</w:t>
      </w:r>
    </w:p>
    <w:p>
      <w:pPr>
        <w:pStyle w:val="ListParagraph"/>
        <w:numPr>
          <w:ilvl w:val="0"/>
          <w:numId w:val="2"/>
        </w:numPr>
        <w:spacing w:before="30" w:after="30"/>
      </w:pPr>
      <w:r>
        <w:rPr>
          <w:rFonts w:ascii="Calibri" w:cs="Calibri" w:eastAsia="Calibri" w:hAnsi="Calibri"/>
          <w:color w:val="1C1C1C"/>
          <w:sz w:val="18"/>
          <w:szCs w:val="18"/>
        </w:rPr>
        <w:t xml:space="preserve">Introduced Pact contract testing across 40 microservice pairs, automating consumer-driven contract verification in GitLab CI — increased inter-service contract coverage from 34% to 97%; reduced production incidents from API contract breaks by 89% (from 28/quarter to 3/quarter).</w:t>
      </w:r>
    </w:p>
    <w:p>
      <w:pPr>
        <w:pStyle w:val="ListParagraph"/>
        <w:numPr>
          <w:ilvl w:val="0"/>
          <w:numId w:val="2"/>
        </w:numPr>
        <w:spacing w:before="30" w:after="30"/>
      </w:pPr>
      <w:r>
        <w:rPr>
          <w:rFonts w:ascii="Calibri" w:cs="Calibri" w:eastAsia="Calibri" w:hAnsi="Calibri"/>
          <w:color w:val="1C1C1C"/>
          <w:sz w:val="18"/>
          <w:szCs w:val="18"/>
        </w:rPr>
        <w:t xml:space="preserve">Built Adobe's Internal Developer Platform (IDP) on Backstage 1.28, Crossplane 1.16, and GitHub Actions — adopted by 480 engineers across 22 product teams; reduced new service time-to-production from 2 weeks to 4 hours; eliminated 8,400 annual infrastructure tickets.</w:t>
      </w:r>
    </w:p>
    <w:p>
      <w:pPr>
        <w:pStyle w:val="ListParagraph"/>
        <w:numPr>
          <w:ilvl w:val="0"/>
          <w:numId w:val="2"/>
        </w:numPr>
        <w:spacing w:before="30" w:after="30"/>
      </w:pPr>
      <w:r>
        <w:rPr>
          <w:rFonts w:ascii="Calibri" w:cs="Calibri" w:eastAsia="Calibri" w:hAnsi="Calibri"/>
          <w:color w:val="1C1C1C"/>
          <w:sz w:val="18"/>
          <w:szCs w:val="18"/>
        </w:rPr>
        <w:t xml:space="preserve">Delivered Adobe Sign digital signature platform API enhancements supporting 28M monthly signature events — integrated DocuSign fallback for high-availability using AWS Step Functions orchestration with exponential backoff retry logic.</w:t>
      </w:r>
    </w:p>
    <w:p>
      <w:pPr>
        <w:pStyle w:val="ListParagraph"/>
        <w:numPr>
          <w:ilvl w:val="0"/>
          <w:numId w:val="2"/>
        </w:numPr>
        <w:spacing w:before="30" w:after="30"/>
      </w:pPr>
      <w:r>
        <w:rPr>
          <w:rFonts w:ascii="Calibri" w:cs="Calibri" w:eastAsia="Calibri" w:hAnsi="Calibri"/>
          <w:color w:val="1C1C1C"/>
          <w:sz w:val="18"/>
          <w:szCs w:val="18"/>
        </w:rPr>
        <w:t xml:space="preserve">Led GCP Committed Use Discount (CUD) optimization and Preemptible VM migration for batch workloads — saving $1.8M annually; established FinOps practice tracking per-team cloud cost using custom Grafana dashboards and GCP Billing API.</w:t>
      </w:r>
    </w:p>
    <w:p>
      <w:pPr>
        <w:pStyle w:val="ListParagraph"/>
        <w:numPr>
          <w:ilvl w:val="0"/>
          <w:numId w:val="2"/>
        </w:numPr>
        <w:spacing w:before="30" w:after="30"/>
      </w:pPr>
      <w:r>
        <w:rPr>
          <w:rFonts w:ascii="Calibri" w:cs="Calibri" w:eastAsia="Calibri" w:hAnsi="Calibri"/>
          <w:color w:val="1C1C1C"/>
          <w:sz w:val="18"/>
          <w:szCs w:val="18"/>
        </w:rPr>
        <w:t xml:space="preserve">Received Adobe 'Experience Maker' Award 2018 and 2019 for delivering Analytics pipeline and CDP identity graph ahead of roadmap; nominated for Adobe MAX 'Technical Excellence' recognition.</w:t>
      </w:r>
    </w:p>
    <w:p>
      <w:pPr>
        <w:spacing w:before="200" w:after="10"/>
      </w:pPr>
    </w:p>
    <w:p>
      <w:pPr>
        <w:spacing w:before="0" w:after="10"/>
      </w:pPr>
      <w:r>
        <w:rPr>
          <w:rFonts w:ascii="Calibri" w:cs="Calibri" w:eastAsia="Calibri" w:hAnsi="Calibri"/>
          <w:b/>
          <w:bCs/>
          <w:color w:val="1F4E79"/>
          <w:sz w:val="23"/>
          <w:szCs w:val="23"/>
        </w:rPr>
        <w:t xml:space="preserve">Software Engineer → Senior Software Engineer</w:t>
      </w:r>
    </w:p>
    <w:p>
      <w:pPr>
        <w:spacing w:before="0" w:after="8"/>
      </w:pPr>
      <w:r>
        <w:rPr>
          <w:rFonts w:ascii="Calibri" w:cs="Calibri" w:eastAsia="Calibri" w:hAnsi="Calibri"/>
          <w:b/>
          <w:bCs/>
          <w:color w:val="2E74B5"/>
          <w:sz w:val="20"/>
          <w:szCs w:val="20"/>
        </w:rPr>
        <w:t xml:space="preserve">Infosys Limited</w:t>
      </w:r>
      <w:r>
        <w:rPr>
          <w:rFonts w:ascii="Calibri" w:cs="Calibri" w:eastAsia="Calibri" w:hAnsi="Calibri"/>
          <w:i/>
          <w:iCs/>
          <w:color w:val="6B7280"/>
          <w:sz w:val="18"/>
          <w:szCs w:val="18"/>
        </w:rPr>
        <w:t xml:space="preserve">   |   New York, NY &amp; Bangalore, India</w:t>
      </w:r>
      <w:r>
        <w:rPr>
          <w:rFonts w:ascii="Calibri" w:cs="Calibri" w:eastAsia="Calibri" w:hAnsi="Calibri"/>
          <w:b/>
          <w:bCs/>
          <w:color w:val="1F4E79"/>
          <w:sz w:val="18"/>
          <w:szCs w:val="18"/>
        </w:rPr>
        <w:t xml:space="preserve">   |   Aug 2012 – May 2016</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Citibank NA — Global Transaction Banking &amp; Cards</w:t>
      </w:r>
    </w:p>
    <w:p>
      <w:pPr>
        <w:spacing w:before="0" w:after="14"/>
      </w:pPr>
      <w:r>
        <w:rPr>
          <w:rFonts w:ascii="Calibri" w:cs="Calibri" w:eastAsia="Calibri" w:hAnsi="Calibri"/>
          <w:i/>
          <w:iCs/>
          <w:color w:val="4B5563"/>
          <w:sz w:val="18"/>
          <w:szCs w:val="18"/>
        </w:rPr>
        <w:t xml:space="preserve">Offshore-onshore development team member then team lead delivering Citibank's payments modernization and mobile banking platform for Global Transaction Banking and Cards divisions.</w:t>
      </w:r>
    </w:p>
    <w:p>
      <w:pPr>
        <w:pStyle w:val="ListParagraph"/>
        <w:numPr>
          <w:ilvl w:val="0"/>
          <w:numId w:val="2"/>
        </w:numPr>
        <w:spacing w:before="30" w:after="30"/>
      </w:pPr>
      <w:r>
        <w:rPr>
          <w:rFonts w:ascii="Calibri" w:cs="Calibri" w:eastAsia="Calibri" w:hAnsi="Calibri"/>
          <w:color w:val="1C1C1C"/>
          <w:sz w:val="18"/>
          <w:szCs w:val="18"/>
        </w:rPr>
        <w:t xml:space="preserve">Built distributed end-of-day settlement batch processing system for Citibank's Global Transaction Banking using Java 8, Spring Batch 4.x, and Oracle RAC 12c — processing 3.8M daily transactions for institutional clients in 22 countries with zero data loss and 99.98% on-time settlement rate.</w:t>
      </w:r>
    </w:p>
    <w:p>
      <w:pPr>
        <w:pStyle w:val="ListParagraph"/>
        <w:numPr>
          <w:ilvl w:val="0"/>
          <w:numId w:val="2"/>
        </w:numPr>
        <w:spacing w:before="30" w:after="30"/>
      </w:pPr>
      <w:r>
        <w:rPr>
          <w:rFonts w:ascii="Calibri" w:cs="Calibri" w:eastAsia="Calibri" w:hAnsi="Calibri"/>
          <w:color w:val="1C1C1C"/>
          <w:sz w:val="18"/>
          <w:szCs w:val="18"/>
        </w:rPr>
        <w:t xml:space="preserve">Developed RESTful microservices for Citibank Mobile Banking 4.0 serving 12M customers in 18 countries — built account summary, fund transfer, bill payment, and FX conversion APIs on Node.js 14/Express, PostgreSQL 13 with PgBouncer; sustained 14,000 concurrent users during peak periods.</w:t>
      </w:r>
    </w:p>
    <w:p>
      <w:pPr>
        <w:pStyle w:val="ListParagraph"/>
        <w:numPr>
          <w:ilvl w:val="0"/>
          <w:numId w:val="2"/>
        </w:numPr>
        <w:spacing w:before="30" w:after="30"/>
      </w:pPr>
      <w:r>
        <w:rPr>
          <w:rFonts w:ascii="Calibri" w:cs="Calibri" w:eastAsia="Calibri" w:hAnsi="Calibri"/>
          <w:color w:val="1C1C1C"/>
          <w:sz w:val="18"/>
          <w:szCs w:val="18"/>
        </w:rPr>
        <w:t xml:space="preserve">Integrated SWIFT MT103, MT202, MT900, MT910 payment messaging via IBM MQ 9.3 and custom SWIFT Alliance Gateway adapters for Citi's cross-border wire transfer platform handling $2.4B daily international wire volume across 140 correspondent banks.</w:t>
      </w:r>
    </w:p>
    <w:p>
      <w:pPr>
        <w:pStyle w:val="ListParagraph"/>
        <w:numPr>
          <w:ilvl w:val="0"/>
          <w:numId w:val="2"/>
        </w:numPr>
        <w:spacing w:before="30" w:after="30"/>
      </w:pPr>
      <w:r>
        <w:rPr>
          <w:rFonts w:ascii="Calibri" w:cs="Calibri" w:eastAsia="Calibri" w:hAnsi="Calibri"/>
          <w:color w:val="1C1C1C"/>
          <w:sz w:val="18"/>
          <w:szCs w:val="18"/>
        </w:rPr>
        <w:t xml:space="preserve">Implemented data warehouse ETL pipelines for Citi's Regulatory Reporting Data Mart using Informatica PowerCenter 10.x and Oracle Data Integrator (ODI) 12c — loading 2.1TB/night into Teradata 16.x EDW; supported BCBS 239 risk data aggregation and Basel III capital adequacy reporting.</w:t>
      </w:r>
    </w:p>
    <w:p>
      <w:pPr>
        <w:pStyle w:val="ListParagraph"/>
        <w:numPr>
          <w:ilvl w:val="0"/>
          <w:numId w:val="2"/>
        </w:numPr>
        <w:spacing w:before="30" w:after="30"/>
      </w:pPr>
      <w:r>
        <w:rPr>
          <w:rFonts w:ascii="Calibri" w:cs="Calibri" w:eastAsia="Calibri" w:hAnsi="Calibri"/>
          <w:color w:val="1C1C1C"/>
          <w:sz w:val="18"/>
          <w:szCs w:val="18"/>
        </w:rPr>
        <w:t xml:space="preserve">Built real-time fraud detection rules engine using Drools 8.x (Kogito), Redis 6.x for velocity checks, and PostgreSQL for rules storage — evaluating 380 fraud rules per card transaction in &lt; 150ms; flagged 94.3% of fraudulent transactions preventing $18M annual fraud losses across Citi's 84M card accounts.</w:t>
      </w:r>
    </w:p>
    <w:p>
      <w:pPr>
        <w:pStyle w:val="ListParagraph"/>
        <w:numPr>
          <w:ilvl w:val="0"/>
          <w:numId w:val="2"/>
        </w:numPr>
        <w:spacing w:before="30" w:after="30"/>
      </w:pPr>
      <w:r>
        <w:rPr>
          <w:rFonts w:ascii="Calibri" w:cs="Calibri" w:eastAsia="Calibri" w:hAnsi="Calibri"/>
          <w:color w:val="1C1C1C"/>
          <w:sz w:val="18"/>
          <w:szCs w:val="18"/>
        </w:rPr>
        <w:t xml:space="preserve">Implemented Citi's PSD2 Open Banking API layer (OAuth 2.0, FAPI 1.0 security profile) for EU markets — enabling 220 registered TPP (Third-Party Provider) integrations; complied with RTS (Regulatory Technical Standards) SCA requirements.</w:t>
      </w:r>
    </w:p>
    <w:p>
      <w:pPr>
        <w:pStyle w:val="ListParagraph"/>
        <w:numPr>
          <w:ilvl w:val="0"/>
          <w:numId w:val="2"/>
        </w:numPr>
        <w:spacing w:before="30" w:after="30"/>
      </w:pPr>
      <w:r>
        <w:rPr>
          <w:rFonts w:ascii="Calibri" w:cs="Calibri" w:eastAsia="Calibri" w:hAnsi="Calibri"/>
          <w:color w:val="1C1C1C"/>
          <w:sz w:val="18"/>
          <w:szCs w:val="18"/>
        </w:rPr>
        <w:t xml:space="preserve">Automated regression test suite: 14,000 test cases covering payment flows, account management, and FX conversion using Selenium WebDriver 4.x, TestNG 7.x, and WireMock 3.x — reduced QA cycle from 6 weeks to 4 days; test parallelization on Jenkins 5-node grid achieved 8x speedup.</w:t>
      </w:r>
    </w:p>
    <w:p>
      <w:pPr>
        <w:pStyle w:val="ListParagraph"/>
        <w:numPr>
          <w:ilvl w:val="0"/>
          <w:numId w:val="2"/>
        </w:numPr>
        <w:spacing w:before="30" w:after="30"/>
      </w:pPr>
      <w:r>
        <w:rPr>
          <w:rFonts w:ascii="Calibri" w:cs="Calibri" w:eastAsia="Calibri" w:hAnsi="Calibri"/>
          <w:color w:val="1C1C1C"/>
          <w:sz w:val="18"/>
          <w:szCs w:val="18"/>
        </w:rPr>
        <w:t xml:space="preserve">Participated in Basel III COREP/FINREP regulatory reporting implementation generating XBRL taxonomy reports using Arelle library — delivered on-time for UK PRA and ECB regulatory submission deadlines.</w:t>
      </w:r>
    </w:p>
    <w:p>
      <w:pPr>
        <w:pStyle w:val="ListParagraph"/>
        <w:numPr>
          <w:ilvl w:val="0"/>
          <w:numId w:val="2"/>
        </w:numPr>
        <w:spacing w:before="30" w:after="30"/>
      </w:pPr>
      <w:r>
        <w:rPr>
          <w:rFonts w:ascii="Calibri" w:cs="Calibri" w:eastAsia="Calibri" w:hAnsi="Calibri"/>
          <w:color w:val="1C1C1C"/>
          <w:sz w:val="18"/>
          <w:szCs w:val="18"/>
        </w:rPr>
        <w:t xml:space="preserve">Received Infosys 'Star Performer Award' Q3-2014 and Q2-2015; promoted to Senior Software Engineer 18 months ahead of standard cadence.</w:t>
      </w:r>
    </w:p>
    <w:p>
      <w:pPr>
        <w:spacing w:before="200" w:after="10"/>
      </w:pPr>
    </w:p>
    <w:p>
      <w:pPr>
        <w:spacing w:before="0" w:after="10"/>
      </w:pPr>
      <w:r>
        <w:rPr>
          <w:rFonts w:ascii="Calibri" w:cs="Calibri" w:eastAsia="Calibri" w:hAnsi="Calibri"/>
          <w:b/>
          <w:bCs/>
          <w:color w:val="1F4E79"/>
          <w:sz w:val="23"/>
          <w:szCs w:val="23"/>
        </w:rPr>
        <w:t xml:space="preserve">Junior Software Engineer</w:t>
      </w:r>
    </w:p>
    <w:p>
      <w:pPr>
        <w:spacing w:before="0" w:after="8"/>
      </w:pPr>
      <w:r>
        <w:rPr>
          <w:rFonts w:ascii="Calibri" w:cs="Calibri" w:eastAsia="Calibri" w:hAnsi="Calibri"/>
          <w:b/>
          <w:bCs/>
          <w:color w:val="2E74B5"/>
          <w:sz w:val="20"/>
          <w:szCs w:val="20"/>
        </w:rPr>
        <w:t xml:space="preserve">Wipro Technologies</w:t>
      </w:r>
      <w:r>
        <w:rPr>
          <w:rFonts w:ascii="Calibri" w:cs="Calibri" w:eastAsia="Calibri" w:hAnsi="Calibri"/>
          <w:i/>
          <w:iCs/>
          <w:color w:val="6B7280"/>
          <w:sz w:val="18"/>
          <w:szCs w:val="18"/>
        </w:rPr>
        <w:t xml:space="preserve">   |   Hyderabad, India</w:t>
      </w:r>
      <w:r>
        <w:rPr>
          <w:rFonts w:ascii="Calibri" w:cs="Calibri" w:eastAsia="Calibri" w:hAnsi="Calibri"/>
          <w:b/>
          <w:bCs/>
          <w:color w:val="1F4E79"/>
          <w:sz w:val="18"/>
          <w:szCs w:val="18"/>
        </w:rPr>
        <w:t xml:space="preserve">   |   Jul 2010 – Jul 2012</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HSBC — UK Retail Banking Platform</w:t>
      </w:r>
    </w:p>
    <w:p>
      <w:pPr>
        <w:spacing w:before="0" w:after="14"/>
      </w:pPr>
      <w:r>
        <w:rPr>
          <w:rFonts w:ascii="Calibri" w:cs="Calibri" w:eastAsia="Calibri" w:hAnsi="Calibri"/>
          <w:i/>
          <w:iCs/>
          <w:color w:val="4B5563"/>
          <w:sz w:val="18"/>
          <w:szCs w:val="18"/>
        </w:rPr>
        <w:t xml:space="preserve">Graduate-hire developer working on HSBC's UK internet banking and regulatory reporting systems as part of 45-person Wipro delivery team.</w:t>
      </w:r>
    </w:p>
    <w:p>
      <w:pPr>
        <w:pStyle w:val="ListParagraph"/>
        <w:numPr>
          <w:ilvl w:val="0"/>
          <w:numId w:val="2"/>
        </w:numPr>
        <w:spacing w:before="30" w:after="30"/>
      </w:pPr>
      <w:r>
        <w:rPr>
          <w:rFonts w:ascii="Calibri" w:cs="Calibri" w:eastAsia="Calibri" w:hAnsi="Calibri"/>
          <w:color w:val="1C1C1C"/>
          <w:sz w:val="18"/>
          <w:szCs w:val="18"/>
        </w:rPr>
        <w:t xml:space="preserve">Developed HSBC UK internet banking modules — account history, statement download, standing orders, and direct debit management — using JSP 2.3, Struts 2.5, Hibernate 4.x, Spring MVC 3.x for 8.4M retail banking customers.</w:t>
      </w:r>
    </w:p>
    <w:p>
      <w:pPr>
        <w:pStyle w:val="ListParagraph"/>
        <w:numPr>
          <w:ilvl w:val="0"/>
          <w:numId w:val="2"/>
        </w:numPr>
        <w:spacing w:before="30" w:after="30"/>
      </w:pPr>
      <w:r>
        <w:rPr>
          <w:rFonts w:ascii="Calibri" w:cs="Calibri" w:eastAsia="Calibri" w:hAnsi="Calibri"/>
          <w:color w:val="1C1C1C"/>
          <w:sz w:val="18"/>
          <w:szCs w:val="18"/>
        </w:rPr>
        <w:t xml:space="preserve">Built automated regulatory report generation system using JasperReports 6.x and Apache POI 5.x generating 340+ daily, weekly, and monthly FCA compliance and operational reports (FSA SUP, GABRIEL returns).</w:t>
      </w:r>
    </w:p>
    <w:p>
      <w:pPr>
        <w:pStyle w:val="ListParagraph"/>
        <w:numPr>
          <w:ilvl w:val="0"/>
          <w:numId w:val="2"/>
        </w:numPr>
        <w:spacing w:before="30" w:after="30"/>
      </w:pPr>
      <w:r>
        <w:rPr>
          <w:rFonts w:ascii="Calibri" w:cs="Calibri" w:eastAsia="Calibri" w:hAnsi="Calibri"/>
          <w:color w:val="1C1C1C"/>
          <w:sz w:val="18"/>
          <w:szCs w:val="18"/>
        </w:rPr>
        <w:t xml:space="preserve">Optimized 14 high-volume Oracle 11g SQL queries for monthly customer statement batch processing — reduced execution time by 76% through query plan analysis, composite index tuning, and partition pruning.</w:t>
      </w:r>
    </w:p>
    <w:p>
      <w:pPr>
        <w:pStyle w:val="ListParagraph"/>
        <w:numPr>
          <w:ilvl w:val="0"/>
          <w:numId w:val="2"/>
        </w:numPr>
        <w:spacing w:before="30" w:after="30"/>
      </w:pPr>
      <w:r>
        <w:rPr>
          <w:rFonts w:ascii="Calibri" w:cs="Calibri" w:eastAsia="Calibri" w:hAnsi="Calibri"/>
          <w:color w:val="1C1C1C"/>
          <w:sz w:val="18"/>
          <w:szCs w:val="18"/>
        </w:rPr>
        <w:t xml:space="preserve">Participated in HSBC's PCI-DSS 3.2 compliance remediation project — implemented card data tokenization using Voltage SecureData Payments and format-preserving encryption (FPE) across 3 payment processing systems.</w:t>
      </w:r>
    </w:p>
    <w:p>
      <w:pPr>
        <w:pStyle w:val="ListParagraph"/>
        <w:numPr>
          <w:ilvl w:val="0"/>
          <w:numId w:val="2"/>
        </w:numPr>
        <w:spacing w:before="30" w:after="30"/>
      </w:pPr>
      <w:r>
        <w:rPr>
          <w:rFonts w:ascii="Calibri" w:cs="Calibri" w:eastAsia="Calibri" w:hAnsi="Calibri"/>
          <w:color w:val="1C1C1C"/>
          <w:sz w:val="18"/>
          <w:szCs w:val="18"/>
        </w:rPr>
        <w:t xml:space="preserve">Developed HSBC's internal test data masking utility using Java and regular expressions anonymizing 28 PII fields in 1.4TB test databases — enabling safe use of production-like data in non-production environments.</w:t>
      </w:r>
    </w:p>
    <w:p>
      <w:pPr>
        <w:pStyle w:val="ListParagraph"/>
        <w:numPr>
          <w:ilvl w:val="0"/>
          <w:numId w:val="2"/>
        </w:numPr>
        <w:spacing w:before="30" w:after="30"/>
      </w:pPr>
      <w:r>
        <w:rPr>
          <w:rFonts w:ascii="Calibri" w:cs="Calibri" w:eastAsia="Calibri" w:hAnsi="Calibri"/>
          <w:color w:val="1C1C1C"/>
          <w:sz w:val="18"/>
          <w:szCs w:val="18"/>
        </w:rPr>
        <w:t xml:space="preserve">Contributed to HSBC's SEPA Credit Transfer (SCT) and SEPA Direct Debit (SDD) XML ISO 20022 message processing module handling 480,000 daily SEPA transactions.</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Apache Kafka Contributor: </w:t>
      </w:r>
      <w:r>
        <w:rPr>
          <w:rFonts w:ascii="Calibri" w:cs="Calibri" w:eastAsia="Calibri" w:hAnsi="Calibri"/>
          <w:sz w:val="18"/>
          <w:szCs w:val="18"/>
        </w:rPr>
        <w:t xml:space="preserve">Contributed 8 PRs to Apache Kafka improving KRaft mode stability, adding JMX metrics for consumer lag tracking, and fixing a critical race condition in the OffsetCommitCallback handler. PR #14822 merged into Kafka 3.6.0.</w:t>
      </w:r>
    </w:p>
    <w:p>
      <w:pPr>
        <w:spacing w:before="80" w:after="20"/>
      </w:pPr>
      <w:r>
        <w:rPr>
          <w:rFonts w:ascii="Calibri" w:cs="Calibri" w:eastAsia="Calibri" w:hAnsi="Calibri"/>
          <w:b/>
          <w:bCs/>
          <w:color w:val="1F4E79"/>
          <w:sz w:val="19"/>
          <w:szCs w:val="19"/>
        </w:rPr>
        <w:t xml:space="preserve">spring-kafka-retry-plus (OSS): </w:t>
      </w:r>
      <w:r>
        <w:rPr>
          <w:rFonts w:ascii="Calibri" w:cs="Calibri" w:eastAsia="Calibri" w:hAnsi="Calibri"/>
          <w:sz w:val="18"/>
          <w:szCs w:val="18"/>
        </w:rPr>
        <w:t xml:space="preserve">Authored and maintain open-source Spring Kafka dead-letter queue retry library with exponential backoff, DLT routing, and Micrometer metrics — 2,100 GitHub stars, used at Uber, Lyft, and HashiCorp.</w:t>
      </w:r>
    </w:p>
    <w:p>
      <w:pPr>
        <w:spacing w:before="80" w:after="20"/>
      </w:pPr>
      <w:r>
        <w:rPr>
          <w:rFonts w:ascii="Calibri" w:cs="Calibri" w:eastAsia="Calibri" w:hAnsi="Calibri"/>
          <w:b/>
          <w:bCs/>
          <w:color w:val="1F4E79"/>
          <w:sz w:val="19"/>
          <w:szCs w:val="19"/>
        </w:rPr>
        <w:t xml:space="preserve">k8s-cost-sentinel (OSS): </w:t>
      </w:r>
      <w:r>
        <w:rPr>
          <w:rFonts w:ascii="Calibri" w:cs="Calibri" w:eastAsia="Calibri" w:hAnsi="Calibri"/>
          <w:sz w:val="18"/>
          <w:szCs w:val="18"/>
        </w:rPr>
        <w:t xml:space="preserve">Kubernetes cost attribution controller using Go and Kubebuilder that tags namespace/pod costs to Jira epics and publishes Slack alerts on budget overruns — 880 GitHub stars.</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M.S. Computer Science (Distributed Systems specialization)</w:t>
      </w:r>
    </w:p>
    <w:p>
      <w:pPr>
        <w:spacing w:before="0" w:after="30"/>
      </w:pPr>
      <w:r>
        <w:rPr>
          <w:rFonts w:ascii="Calibri" w:cs="Calibri" w:eastAsia="Calibri" w:hAnsi="Calibri"/>
          <w:color w:val="374151"/>
          <w:sz w:val="19"/>
          <w:szCs w:val="19"/>
        </w:rPr>
        <w:t xml:space="preserve">University of Illinois at Urbana-Champaign (UIUC)</w:t>
      </w:r>
      <w:r>
        <w:rPr>
          <w:rFonts w:ascii="Calibri" w:cs="Calibri" w:eastAsia="Calibri" w:hAnsi="Calibri"/>
          <w:i/>
          <w:iCs/>
          <w:color w:val="6B7280"/>
          <w:sz w:val="18"/>
          <w:szCs w:val="18"/>
        </w:rPr>
        <w:t xml:space="preserve">   |   Graduated: 2010</w:t>
      </w:r>
    </w:p>
    <w:p>
      <w:pPr>
        <w:spacing w:before="0" w:after="50"/>
      </w:pPr>
      <w:r>
        <w:rPr>
          <w:rFonts w:ascii="Calibri" w:cs="Calibri" w:eastAsia="Calibri" w:hAnsi="Calibri"/>
          <w:i/>
          <w:iCs/>
          <w:color w:val="6B7280"/>
          <w:sz w:val="17"/>
          <w:szCs w:val="17"/>
        </w:rPr>
        <w:t xml:space="preserve">GPA: 3.9/4.0 | Thesis: 'Adaptive Load Shedding in Distributed Stream Processing Systems'</w:t>
      </w:r>
    </w:p>
    <w:p>
      <w:pPr>
        <w:spacing w:before="80" w:after="10"/>
      </w:pPr>
      <w:r>
        <w:rPr>
          <w:rFonts w:ascii="Calibri" w:cs="Calibri" w:eastAsia="Calibri" w:hAnsi="Calibri"/>
          <w:b/>
          <w:bCs/>
          <w:color w:val="1F4E79"/>
          <w:sz w:val="20"/>
          <w:szCs w:val="20"/>
        </w:rPr>
        <w:t xml:space="preserve">B.Tech Computer Science &amp; Engineering</w:t>
      </w:r>
    </w:p>
    <w:p>
      <w:pPr>
        <w:spacing w:before="0" w:after="30"/>
      </w:pPr>
      <w:r>
        <w:rPr>
          <w:rFonts w:ascii="Calibri" w:cs="Calibri" w:eastAsia="Calibri" w:hAnsi="Calibri"/>
          <w:color w:val="374151"/>
          <w:sz w:val="19"/>
          <w:szCs w:val="19"/>
        </w:rPr>
        <w:t xml:space="preserve">National Institute of Technology Tiruchirappalli (NIT Trichy)</w:t>
      </w:r>
      <w:r>
        <w:rPr>
          <w:rFonts w:ascii="Calibri" w:cs="Calibri" w:eastAsia="Calibri" w:hAnsi="Calibri"/>
          <w:i/>
          <w:iCs/>
          <w:color w:val="6B7280"/>
          <w:sz w:val="18"/>
          <w:szCs w:val="18"/>
        </w:rPr>
        <w:t xml:space="preserve">   |   Graduated: 2008</w:t>
      </w:r>
    </w:p>
    <w:p>
      <w:pPr>
        <w:spacing w:before="0" w:after="50"/>
      </w:pPr>
      <w:r>
        <w:rPr>
          <w:rFonts w:ascii="Calibri" w:cs="Calibri" w:eastAsia="Calibri" w:hAnsi="Calibri"/>
          <w:i/>
          <w:iCs/>
          <w:color w:val="6B7280"/>
          <w:sz w:val="17"/>
          <w:szCs w:val="17"/>
        </w:rPr>
        <w:t xml:space="preserve">CGPA: 9.1/10.0 | University Gold Medal | ACM ICPC Asia Regionals Finalist 2007</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AWS Certified Solutions Architect – Professional (SAP-C02) — Amazon Web Services, 2023 (Score: 912/1000)</w:t>
      </w:r>
    </w:p>
    <w:p>
      <w:pPr>
        <w:pStyle w:val="ListParagraph"/>
        <w:numPr>
          <w:ilvl w:val="0"/>
          <w:numId w:val="2"/>
        </w:numPr>
        <w:spacing w:before="30" w:after="30"/>
      </w:pPr>
      <w:r>
        <w:rPr>
          <w:rFonts w:ascii="Calibri" w:cs="Calibri" w:eastAsia="Calibri" w:hAnsi="Calibri"/>
          <w:color w:val="1C1C1C"/>
          <w:sz w:val="18"/>
          <w:szCs w:val="18"/>
        </w:rPr>
        <w:t xml:space="preserve">Google Cloud Professional Data Engineer — Google, 2022</w:t>
      </w:r>
    </w:p>
    <w:p>
      <w:pPr>
        <w:pStyle w:val="ListParagraph"/>
        <w:numPr>
          <w:ilvl w:val="0"/>
          <w:numId w:val="2"/>
        </w:numPr>
        <w:spacing w:before="30" w:after="30"/>
      </w:pPr>
      <w:r>
        <w:rPr>
          <w:rFonts w:ascii="Calibri" w:cs="Calibri" w:eastAsia="Calibri" w:hAnsi="Calibri"/>
          <w:color w:val="1C1C1C"/>
          <w:sz w:val="18"/>
          <w:szCs w:val="18"/>
        </w:rPr>
        <w:t xml:space="preserve">Certified Kubernetes Administrator (CKA) — CNCF, 2023 (Score: 94%)</w:t>
      </w:r>
    </w:p>
    <w:p>
      <w:pPr>
        <w:pStyle w:val="ListParagraph"/>
        <w:numPr>
          <w:ilvl w:val="0"/>
          <w:numId w:val="2"/>
        </w:numPr>
        <w:spacing w:before="30" w:after="30"/>
      </w:pPr>
      <w:r>
        <w:rPr>
          <w:rFonts w:ascii="Calibri" w:cs="Calibri" w:eastAsia="Calibri" w:hAnsi="Calibri"/>
          <w:color w:val="1C1C1C"/>
          <w:sz w:val="18"/>
          <w:szCs w:val="18"/>
        </w:rPr>
        <w:t xml:space="preserve">Certified Kubernetes Application Developer (CKAD) — CNCF, 2023</w:t>
      </w:r>
    </w:p>
    <w:p>
      <w:pPr>
        <w:pStyle w:val="ListParagraph"/>
        <w:numPr>
          <w:ilvl w:val="0"/>
          <w:numId w:val="2"/>
        </w:numPr>
        <w:spacing w:before="30" w:after="30"/>
      </w:pPr>
      <w:r>
        <w:rPr>
          <w:rFonts w:ascii="Calibri" w:cs="Calibri" w:eastAsia="Calibri" w:hAnsi="Calibri"/>
          <w:color w:val="1C1C1C"/>
          <w:sz w:val="18"/>
          <w:szCs w:val="18"/>
        </w:rPr>
        <w:t xml:space="preserve">HashiCorp Certified: Terraform Associate (003) — HashiCorp, 2022</w:t>
      </w:r>
    </w:p>
    <w:p>
      <w:pPr>
        <w:pStyle w:val="ListParagraph"/>
        <w:numPr>
          <w:ilvl w:val="0"/>
          <w:numId w:val="2"/>
        </w:numPr>
        <w:spacing w:before="30" w:after="30"/>
      </w:pPr>
      <w:r>
        <w:rPr>
          <w:rFonts w:ascii="Calibri" w:cs="Calibri" w:eastAsia="Calibri" w:hAnsi="Calibri"/>
          <w:color w:val="1C1C1C"/>
          <w:sz w:val="18"/>
          <w:szCs w:val="18"/>
        </w:rPr>
        <w:t xml:space="preserve">Oracle Certified Master Java EE 7 Enterprise Architect (OCMJEA) — Oracle, 2015</w:t>
      </w:r>
    </w:p>
    <w:p>
      <w:pPr>
        <w:pStyle w:val="ListParagraph"/>
        <w:numPr>
          <w:ilvl w:val="0"/>
          <w:numId w:val="2"/>
        </w:numPr>
        <w:spacing w:before="30" w:after="30"/>
      </w:pPr>
      <w:r>
        <w:rPr>
          <w:rFonts w:ascii="Calibri" w:cs="Calibri" w:eastAsia="Calibri" w:hAnsi="Calibri"/>
          <w:color w:val="1C1C1C"/>
          <w:sz w:val="18"/>
          <w:szCs w:val="18"/>
        </w:rPr>
        <w:t xml:space="preserve">AWS Certified Advanced Networking – Specialty (ANS-C01) — Amazon Web Services, 2022</w:t>
      </w:r>
    </w:p>
    <w:p>
      <w:pPr>
        <w:pStyle w:val="ListParagraph"/>
        <w:numPr>
          <w:ilvl w:val="0"/>
          <w:numId w:val="2"/>
        </w:numPr>
        <w:spacing w:before="30" w:after="30"/>
      </w:pPr>
      <w:r>
        <w:rPr>
          <w:rFonts w:ascii="Calibri" w:cs="Calibri" w:eastAsia="Calibri" w:hAnsi="Calibri"/>
          <w:color w:val="1C1C1C"/>
          <w:sz w:val="18"/>
          <w:szCs w:val="18"/>
        </w:rPr>
        <w:t xml:space="preserve">Confluent Certified Developer for Apache Kafka (CCDAK) — Confluent, 2021</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Venkataraman R., Sharma P., Lee K. 'Zero-Copy Deserialization Techniques for Low-Latency Financial Trading Systems.' IEEE Transactions on Software Engineering, Vol. 48, No. 9, Sep 2022. DOI: 10.1109/TSE.2022.3142891.</w:t>
      </w:r>
    </w:p>
    <w:p>
      <w:pPr>
        <w:pStyle w:val="ListParagraph"/>
        <w:numPr>
          <w:ilvl w:val="0"/>
          <w:numId w:val="2"/>
        </w:numPr>
        <w:spacing w:before="30" w:after="30"/>
      </w:pPr>
      <w:r>
        <w:rPr>
          <w:rFonts w:ascii="Calibri" w:cs="Calibri" w:eastAsia="Calibri" w:hAnsi="Calibri"/>
          <w:color w:val="1C1C1C"/>
          <w:sz w:val="18"/>
          <w:szCs w:val="18"/>
        </w:rPr>
        <w:t xml:space="preserve">Venkataraman R. 'Chaos Engineering at Hyperscale: Lessons from 500-Node Kafka Deployments in Financial Services.' O'Reilly Velocity Conference, San Jose, 2021.</w:t>
      </w:r>
    </w:p>
    <w:p>
      <w:pPr>
        <w:pStyle w:val="ListParagraph"/>
        <w:numPr>
          <w:ilvl w:val="0"/>
          <w:numId w:val="2"/>
        </w:numPr>
        <w:spacing w:before="30" w:after="30"/>
      </w:pPr>
      <w:r>
        <w:rPr>
          <w:rFonts w:ascii="Calibri" w:cs="Calibri" w:eastAsia="Calibri" w:hAnsi="Calibri"/>
          <w:color w:val="1C1C1C"/>
          <w:sz w:val="18"/>
          <w:szCs w:val="18"/>
        </w:rPr>
        <w:t xml:space="preserve">Venkataraman R., Patel A. 'Distributed Saga Pattern Implementation Using Apache Kafka and Outbox Pattern.' InfoQ Architecture, March 2023.</w:t>
      </w:r>
    </w:p>
    <w:p>
      <w:pPr>
        <w:pStyle w:val="ListParagraph"/>
        <w:numPr>
          <w:ilvl w:val="0"/>
          <w:numId w:val="2"/>
        </w:numPr>
        <w:spacing w:before="30" w:after="30"/>
      </w:pPr>
      <w:r>
        <w:rPr>
          <w:rFonts w:ascii="Calibri" w:cs="Calibri" w:eastAsia="Calibri" w:hAnsi="Calibri"/>
          <w:color w:val="1C1C1C"/>
          <w:sz w:val="18"/>
          <w:szCs w:val="18"/>
        </w:rPr>
        <w:t xml:space="preserve">Venkataraman R. 'GraalVM Native Image for Spring Boot Microservices: Startup Time and Memory Deep Dive.' Devoxx Belgium 2022 (conference talk, 3,400 attendees).</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Salesforce 'Trailblazer Engineering Award' 2022 — awarded to top 2% of engineers company-wide</w:t>
      </w:r>
    </w:p>
    <w:p>
      <w:pPr>
        <w:pStyle w:val="ListParagraph"/>
        <w:numPr>
          <w:ilvl w:val="0"/>
          <w:numId w:val="2"/>
        </w:numPr>
        <w:spacing w:before="30" w:after="30"/>
      </w:pPr>
      <w:r>
        <w:rPr>
          <w:rFonts w:ascii="Calibri" w:cs="Calibri" w:eastAsia="Calibri" w:hAnsi="Calibri"/>
          <w:color w:val="1C1C1C"/>
          <w:sz w:val="18"/>
          <w:szCs w:val="18"/>
        </w:rPr>
        <w:t xml:space="preserve">Adobe 'Experience Maker Award' 2018, 2019</w:t>
      </w:r>
    </w:p>
    <w:p>
      <w:pPr>
        <w:pStyle w:val="ListParagraph"/>
        <w:numPr>
          <w:ilvl w:val="0"/>
          <w:numId w:val="2"/>
        </w:numPr>
        <w:spacing w:before="30" w:after="30"/>
      </w:pPr>
      <w:r>
        <w:rPr>
          <w:rFonts w:ascii="Calibri" w:cs="Calibri" w:eastAsia="Calibri" w:hAnsi="Calibri"/>
          <w:color w:val="1C1C1C"/>
          <w:sz w:val="18"/>
          <w:szCs w:val="18"/>
        </w:rPr>
        <w:t xml:space="preserve">Infosys 'Star Performer Award' Q3-2014, Q2-2015</w:t>
      </w:r>
    </w:p>
    <w:p>
      <w:pPr>
        <w:pStyle w:val="ListParagraph"/>
        <w:numPr>
          <w:ilvl w:val="0"/>
          <w:numId w:val="2"/>
        </w:numPr>
        <w:spacing w:before="30" w:after="30"/>
      </w:pPr>
      <w:r>
        <w:rPr>
          <w:rFonts w:ascii="Calibri" w:cs="Calibri" w:eastAsia="Calibri" w:hAnsi="Calibri"/>
          <w:color w:val="1C1C1C"/>
          <w:sz w:val="18"/>
          <w:szCs w:val="18"/>
        </w:rPr>
        <w:t xml:space="preserve">NIT Trichy University Gold Medal — Computer Science &amp; Engineering, 2008</w:t>
      </w:r>
    </w:p>
    <w:p>
      <w:pPr>
        <w:pStyle w:val="ListParagraph"/>
        <w:numPr>
          <w:ilvl w:val="0"/>
          <w:numId w:val="2"/>
        </w:numPr>
        <w:spacing w:before="30" w:after="30"/>
      </w:pPr>
      <w:r>
        <w:rPr>
          <w:rFonts w:ascii="Calibri" w:cs="Calibri" w:eastAsia="Calibri" w:hAnsi="Calibri"/>
          <w:color w:val="1C1C1C"/>
          <w:sz w:val="18"/>
          <w:szCs w:val="18"/>
        </w:rPr>
        <w:t xml:space="preserve">ACM ICPC Asia Regionals Finalist — Kanpur, 2007</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2026-03-13T11:59:37.517Z</dcterms:created>
  <dcterms:modified xsi:type="dcterms:W3CDTF">2026-03-13T11:59:37.518Z</dcterms:modified>
</cp:coreProperties>
</file>

<file path=docProps/custom.xml><?xml version="1.0" encoding="utf-8"?>
<Properties xmlns="http://schemas.openxmlformats.org/officeDocument/2006/custom-properties" xmlns:vt="http://schemas.openxmlformats.org/officeDocument/2006/docPropsVTypes"/>
</file>