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
      </w:pPr>
      <w:r>
        <w:rPr>
          <w:rFonts w:ascii="Calibri" w:cs="Calibri" w:eastAsia="Calibri" w:hAnsi="Calibri"/>
          <w:b/>
          <w:bCs/>
          <w:color w:val="1F4E79"/>
          <w:sz w:val="56"/>
          <w:szCs w:val="56"/>
        </w:rPr>
        <w:t xml:space="preserve">David Aleksandr Petrov</w:t>
      </w:r>
    </w:p>
    <w:p>
      <w:pPr>
        <w:spacing w:before="0" w:after="40"/>
      </w:pPr>
      <w:r>
        <w:rPr>
          <w:rFonts w:ascii="Calibri" w:cs="Calibri" w:eastAsia="Calibri" w:hAnsi="Calibri"/>
          <w:b/>
          <w:bCs/>
          <w:i/>
          <w:iCs/>
          <w:color w:val="2E74B5"/>
          <w:sz w:val="26"/>
          <w:szCs w:val="26"/>
        </w:rPr>
        <w:t xml:space="preserve">Principal Cybersecurity Architect &amp; Offensive Security Lead</w:t>
      </w:r>
    </w:p>
    <w:p>
      <w:pPr>
        <w:pBdr>
          <w:bottom w:val="single" w:color="1F4E79" w:sz="14" w:space="1"/>
        </w:pBdr>
        <w:spacing w:before="0" w:after="60"/>
      </w:pPr>
      <w:r>
        <w:rPr>
          <w:rFonts w:ascii="Calibri" w:cs="Calibri" w:eastAsia="Calibri" w:hAnsi="Calibri"/>
          <w:color w:val="374151"/>
          <w:sz w:val="17"/>
          <w:szCs w:val="17"/>
        </w:rPr>
        <w:t xml:space="preserve">d.petrov@securearchitect.tech   |   </w:t>
      </w:r>
      <w:r>
        <w:rPr>
          <w:rFonts w:ascii="Calibri" w:cs="Calibri" w:eastAsia="Calibri" w:hAnsi="Calibri"/>
          <w:color w:val="374151"/>
          <w:sz w:val="17"/>
          <w:szCs w:val="17"/>
        </w:rPr>
        <w:t xml:space="preserve">+1-571-448-3301   |   </w:t>
      </w:r>
      <w:r>
        <w:rPr>
          <w:rFonts w:ascii="Calibri" w:cs="Calibri" w:eastAsia="Calibri" w:hAnsi="Calibri"/>
          <w:color w:val="374151"/>
          <w:sz w:val="17"/>
          <w:szCs w:val="17"/>
        </w:rPr>
        <w:t xml:space="preserve">Washington, DC 20001   |   </w:t>
      </w:r>
      <w:r>
        <w:rPr>
          <w:rFonts w:ascii="Calibri" w:cs="Calibri" w:eastAsia="Calibri" w:hAnsi="Calibri"/>
          <w:color w:val="374151"/>
          <w:sz w:val="17"/>
          <w:szCs w:val="17"/>
        </w:rPr>
        <w:t xml:space="preserve">linkedin.com/in/davidapetrov   |   </w:t>
      </w:r>
      <w:r>
        <w:rPr>
          <w:rFonts w:ascii="Calibri" w:cs="Calibri" w:eastAsia="Calibri" w:hAnsi="Calibri"/>
          <w:color w:val="374151"/>
          <w:sz w:val="17"/>
          <w:szCs w:val="17"/>
        </w:rPr>
        <w:t xml:space="preserve">github.com/dapetrov-sec   |   </w:t>
      </w:r>
      <w:r>
        <w:rPr>
          <w:rFonts w:ascii="Calibri" w:cs="Calibri" w:eastAsia="Calibri" w:hAnsi="Calibri"/>
          <w:color w:val="374151"/>
          <w:sz w:val="17"/>
          <w:szCs w:val="17"/>
        </w:rPr>
        <w:t xml:space="preserve">petrov-security.io   |   </w:t>
      </w:r>
      <w:r>
        <w:rPr>
          <w:rFonts w:ascii="Calibri" w:cs="Calibri" w:eastAsia="Calibri" w:hAnsi="Calibri"/>
          <w:color w:val="374151"/>
          <w:sz w:val="17"/>
          <w:szCs w:val="17"/>
        </w:rPr>
        <w:t xml:space="preserve">Clearance: Active TS/SCI with CI Polygraph (DCSA) — eligible for SCI access</w:t>
      </w:r>
    </w:p>
    <w:p>
      <w:pPr>
        <w:pBdr>
          <w:bottom w:val="single" w:color="1F4E79" w:sz="8" w:space="1"/>
        </w:pBdr>
        <w:spacing w:before="300" w:after="80"/>
      </w:pPr>
      <w:r>
        <w:rPr>
          <w:rFonts w:ascii="Calibri" w:cs="Calibri" w:eastAsia="Calibri" w:hAnsi="Calibri"/>
          <w:b/>
          <w:bCs/>
          <w:color w:val="1F4E79"/>
          <w:sz w:val="22"/>
          <w:szCs w:val="22"/>
        </w:rPr>
        <w:t xml:space="preserve">PROFESSIONAL SUMMARY</w:t>
      </w:r>
    </w:p>
    <w:p>
      <w:pPr>
        <w:spacing w:before="60" w:after="140"/>
      </w:pPr>
      <w:r>
        <w:rPr>
          <w:rFonts w:ascii="Calibri" w:cs="Calibri" w:eastAsia="Calibri" w:hAnsi="Calibri"/>
          <w:color w:val="1C1C1C"/>
          <w:sz w:val="19"/>
          <w:szCs w:val="19"/>
        </w:rPr>
        <w:t xml:space="preserve">Distinguished Principal Cybersecurity Architect and Red Team Lead with 14 years of offensive and defensive security expertise across federal government, financial services, healthcare, and critical infrastructure sectors. Holds active TS/SCI with CI Polygraph security clearance. Led Red Team engagements, Zero Trust Architecture implementations, and nation-state threat hunting operations for DHS, DoD, NSA, and Fortune 100 enterprises. Discovered and responsibly disclosed 38 CVEs across Microsoft, VMware, Palo Alto Networks, and Fortinet with combined CVSS score average of 9.1. Expert in MITRE ATT&amp;CK adversary simulation, cloud-native security engineering, and large-scale SIEM platform buildouts. Certified CISSP, OSCP, and GXPN practitioner. Frequent speaker at DEF CON, Black Hat, and RSA Conference. Technical advisor to CISA's Joint Cyber Defense Collaborative (JCDC).</w:t>
      </w:r>
    </w:p>
    <w:p>
      <w:pPr>
        <w:pBdr>
          <w:bottom w:val="single" w:color="1F4E79" w:sz="8" w:space="1"/>
        </w:pBdr>
        <w:spacing w:before="300" w:after="80"/>
      </w:pPr>
      <w:r>
        <w:rPr>
          <w:rFonts w:ascii="Calibri" w:cs="Calibri" w:eastAsia="Calibri" w:hAnsi="Calibri"/>
          <w:b/>
          <w:bCs/>
          <w:color w:val="1F4E79"/>
          <w:sz w:val="22"/>
          <w:szCs w:val="22"/>
        </w:rPr>
        <w:t xml:space="preserve">CORE TECHNICAL COMPETENCIES</w:t>
      </w:r>
    </w:p>
    <w:p>
      <w:pPr>
        <w:spacing w:before="50" w:after="30"/>
      </w:pPr>
      <w:r>
        <w:rPr>
          <w:rFonts w:ascii="Calibri" w:cs="Calibri" w:eastAsia="Calibri" w:hAnsi="Calibri"/>
          <w:b/>
          <w:bCs/>
          <w:color w:val="1F4E79"/>
          <w:sz w:val="18"/>
          <w:szCs w:val="18"/>
        </w:rPr>
        <w:t xml:space="preserve">Offensive Security:  </w:t>
      </w:r>
      <w:r>
        <w:rPr>
          <w:rFonts w:ascii="Calibri" w:cs="Calibri" w:eastAsia="Calibri" w:hAnsi="Calibri"/>
          <w:color w:val="374151"/>
          <w:sz w:val="17"/>
          <w:szCs w:val="17"/>
        </w:rPr>
        <w:t xml:space="preserve">Advanced Penetration Testing  •  Red Team Operations (APT Simulation)  •  Social Engineering &amp; Phishing  •  OSINT (Maltego, Shodan, OSINT Framework)  •  Exploit Development (x86/x64 ROP chains, heap exploitation)  •  Cobalt Strike 4.x  •  Metasploit Framework Pro  •  Burp Suite Pro 2024.x  •  Brute Ratel C4  •  Havoc C2  •  Sliver C2</w:t>
      </w:r>
    </w:p>
    <w:p>
      <w:pPr>
        <w:spacing w:before="50" w:after="30"/>
      </w:pPr>
      <w:r>
        <w:rPr>
          <w:rFonts w:ascii="Calibri" w:cs="Calibri" w:eastAsia="Calibri" w:hAnsi="Calibri"/>
          <w:b/>
          <w:bCs/>
          <w:color w:val="1F4E79"/>
          <w:sz w:val="18"/>
          <w:szCs w:val="18"/>
        </w:rPr>
        <w:t xml:space="preserve">Web &amp; API Security:  </w:t>
      </w:r>
      <w:r>
        <w:rPr>
          <w:rFonts w:ascii="Calibri" w:cs="Calibri" w:eastAsia="Calibri" w:hAnsi="Calibri"/>
          <w:color w:val="374151"/>
          <w:sz w:val="17"/>
          <w:szCs w:val="17"/>
        </w:rPr>
        <w:t xml:space="preserve">OWASP Top 10 (2021)  •  OWASP API Security Top 10  •  GraphQL Injection  •  Server-Side Request Forgery (SSRF)  •  OAuth 2.0/OIDC Attacks  •  JWT Attacks  •  DOM-XSS  •  HTTP Request Smuggling  •  Race Conditions</w:t>
      </w:r>
    </w:p>
    <w:p>
      <w:pPr>
        <w:spacing w:before="50" w:after="30"/>
      </w:pPr>
      <w:r>
        <w:rPr>
          <w:rFonts w:ascii="Calibri" w:cs="Calibri" w:eastAsia="Calibri" w:hAnsi="Calibri"/>
          <w:b/>
          <w:bCs/>
          <w:color w:val="1F4E79"/>
          <w:sz w:val="18"/>
          <w:szCs w:val="18"/>
        </w:rPr>
        <w:t xml:space="preserve">Cloud Security:  </w:t>
      </w:r>
      <w:r>
        <w:rPr>
          <w:rFonts w:ascii="Calibri" w:cs="Calibri" w:eastAsia="Calibri" w:hAnsi="Calibri"/>
          <w:color w:val="374151"/>
          <w:sz w:val="17"/>
          <w:szCs w:val="17"/>
        </w:rPr>
        <w:t xml:space="preserve">AWS Security Hub  •  AWS GuardDuty  •  Azure Sentinel (Microsoft Sentinel)  •  GCP Security Command Center  •  Wiz CNAPP  •  Orca Security  •  CSPM  •  CWPP  •  CIEM  •  Cloud Misconfiguration Exploitation (S3, IAM Escalation, SSRF-to-IMDS)</w:t>
      </w:r>
    </w:p>
    <w:p>
      <w:pPr>
        <w:spacing w:before="50" w:after="30"/>
      </w:pPr>
      <w:r>
        <w:rPr>
          <w:rFonts w:ascii="Calibri" w:cs="Calibri" w:eastAsia="Calibri" w:hAnsi="Calibri"/>
          <w:b/>
          <w:bCs/>
          <w:color w:val="1F4E79"/>
          <w:sz w:val="18"/>
          <w:szCs w:val="18"/>
        </w:rPr>
        <w:t xml:space="preserve">Network &amp; Endpoint Security:  </w:t>
      </w:r>
      <w:r>
        <w:rPr>
          <w:rFonts w:ascii="Calibri" w:cs="Calibri" w:eastAsia="Calibri" w:hAnsi="Calibri"/>
          <w:color w:val="374151"/>
          <w:sz w:val="17"/>
          <w:szCs w:val="17"/>
        </w:rPr>
        <w:t xml:space="preserve">Palo Alto Panorama/NGFW  •  Cisco ASA/FTD  •  Zeek 7.x (formerly Bro)  •  Suricata 7.x IDS/IPS  •  Wireshark 4.x  •  Nmap 7.95  •  BloodHound/SharpHound  •  Mimikatz  •  Rubeus  •  Impacket  •  CrackMapExec</w:t>
      </w:r>
    </w:p>
    <w:p>
      <w:pPr>
        <w:spacing w:before="50" w:after="30"/>
      </w:pPr>
      <w:r>
        <w:rPr>
          <w:rFonts w:ascii="Calibri" w:cs="Calibri" w:eastAsia="Calibri" w:hAnsi="Calibri"/>
          <w:b/>
          <w:bCs/>
          <w:color w:val="1F4E79"/>
          <w:sz w:val="18"/>
          <w:szCs w:val="18"/>
        </w:rPr>
        <w:t xml:space="preserve">SIEM, EDR &amp; IR:  </w:t>
      </w:r>
      <w:r>
        <w:rPr>
          <w:rFonts w:ascii="Calibri" w:cs="Calibri" w:eastAsia="Calibri" w:hAnsi="Calibri"/>
          <w:color w:val="374151"/>
          <w:sz w:val="17"/>
          <w:szCs w:val="17"/>
        </w:rPr>
        <w:t xml:space="preserve">Splunk Enterprise Security 8.x  •  Microsoft Sentinel (KQL)  •  CrowdStrike Falcon Insight XDR  •  Carbon Black Enterprise  •  Cortex XDR (Palo Alto)  •  SentinelOne Singularity  •  Elastic SIEM  •  TheHive 5.x  •  MISP 2.x  •  Velociraptor 0.7</w:t>
      </w:r>
    </w:p>
    <w:p>
      <w:pPr>
        <w:spacing w:before="50" w:after="30"/>
      </w:pPr>
      <w:r>
        <w:rPr>
          <w:rFonts w:ascii="Calibri" w:cs="Calibri" w:eastAsia="Calibri" w:hAnsi="Calibri"/>
          <w:b/>
          <w:bCs/>
          <w:color w:val="1F4E79"/>
          <w:sz w:val="18"/>
          <w:szCs w:val="18"/>
        </w:rPr>
        <w:t xml:space="preserve">Frameworks &amp; Standards:  </w:t>
      </w:r>
      <w:r>
        <w:rPr>
          <w:rFonts w:ascii="Calibri" w:cs="Calibri" w:eastAsia="Calibri" w:hAnsi="Calibri"/>
          <w:color w:val="374151"/>
          <w:sz w:val="17"/>
          <w:szCs w:val="17"/>
        </w:rPr>
        <w:t xml:space="preserve">MITRE ATT&amp;CK v14  •  MITRE D3FEND  •  NIST CSF 2.0  •  NIST SP 800-53 Rev.5  •  OWASP ASVS 4.0  •  CIS Controls v8  •  DISA STIG  •  FedRAMP High/Moderate  •  SOC 2 Type II  •  ISO 27001:2022  •  PCI-DSS 4.0  •  HIPAA Security Rule</w:t>
      </w:r>
    </w:p>
    <w:p>
      <w:pPr>
        <w:spacing w:before="50" w:after="30"/>
      </w:pPr>
      <w:r>
        <w:rPr>
          <w:rFonts w:ascii="Calibri" w:cs="Calibri" w:eastAsia="Calibri" w:hAnsi="Calibri"/>
          <w:b/>
          <w:bCs/>
          <w:color w:val="1F4E79"/>
          <w:sz w:val="18"/>
          <w:szCs w:val="18"/>
        </w:rPr>
        <w:t xml:space="preserve">Programming &amp; Scripting:  </w:t>
      </w:r>
      <w:r>
        <w:rPr>
          <w:rFonts w:ascii="Calibri" w:cs="Calibri" w:eastAsia="Calibri" w:hAnsi="Calibri"/>
          <w:color w:val="374151"/>
          <w:sz w:val="17"/>
          <w:szCs w:val="17"/>
        </w:rPr>
        <w:t xml:space="preserve">Python 3.12 (offensive tooling, automation)  •  PowerShell 7.x (Active Directory exploitation, WMI)  •  Go 1.22 (C2 framework development)  •  C/C++20 (shellcode, kernel exploits)  •  Bash 5.x  •  Assembly (x86-64 AT&amp;T/Intel)  •  Rust 1.78 (post-exploitation implants)</w:t>
      </w:r>
    </w:p>
    <w:p>
      <w:pPr>
        <w:spacing w:before="50" w:after="30"/>
      </w:pPr>
      <w:r>
        <w:rPr>
          <w:rFonts w:ascii="Calibri" w:cs="Calibri" w:eastAsia="Calibri" w:hAnsi="Calibri"/>
          <w:b/>
          <w:bCs/>
          <w:color w:val="1F4E79"/>
          <w:sz w:val="18"/>
          <w:szCs w:val="18"/>
        </w:rPr>
        <w:t xml:space="preserve">Digital Forensics &amp; IR:  </w:t>
      </w:r>
      <w:r>
        <w:rPr>
          <w:rFonts w:ascii="Calibri" w:cs="Calibri" w:eastAsia="Calibri" w:hAnsi="Calibri"/>
          <w:color w:val="374151"/>
          <w:sz w:val="17"/>
          <w:szCs w:val="17"/>
        </w:rPr>
        <w:t xml:space="preserve">EnCase Forensic 21.x  •  FTK Imager 4.7  •  Autopsy 4.21  •  Volatility 3.x (memory forensics)  •  KAPE 1.3  •  Plaso (log2timeline)  •  Rekall  •  OSForensics 10.x</w:t>
      </w:r>
    </w:p>
    <w:p>
      <w:pPr>
        <w:pBdr>
          <w:bottom w:val="single" w:color="1F4E79" w:sz="8" w:space="1"/>
        </w:pBdr>
        <w:spacing w:before="300" w:after="80"/>
      </w:pPr>
      <w:r>
        <w:rPr>
          <w:rFonts w:ascii="Calibri" w:cs="Calibri" w:eastAsia="Calibri" w:hAnsi="Calibri"/>
          <w:b/>
          <w:bCs/>
          <w:color w:val="1F4E79"/>
          <w:sz w:val="22"/>
          <w:szCs w:val="22"/>
        </w:rPr>
        <w:t xml:space="preserve">PROFESSIONAL EXPERIENCE</w:t>
      </w:r>
    </w:p>
    <w:p>
      <w:pPr>
        <w:spacing w:before="200" w:after="10"/>
      </w:pPr>
    </w:p>
    <w:p>
      <w:pPr>
        <w:spacing w:before="0" w:after="10"/>
      </w:pPr>
      <w:r>
        <w:rPr>
          <w:rFonts w:ascii="Calibri" w:cs="Calibri" w:eastAsia="Calibri" w:hAnsi="Calibri"/>
          <w:b/>
          <w:bCs/>
          <w:color w:val="1F4E79"/>
          <w:sz w:val="23"/>
          <w:szCs w:val="23"/>
        </w:rPr>
        <w:t xml:space="preserve">Principal Cybersecurity Architect &amp; Red Team Lead</w:t>
      </w:r>
    </w:p>
    <w:p>
      <w:pPr>
        <w:spacing w:before="0" w:after="8"/>
      </w:pPr>
      <w:r>
        <w:rPr>
          <w:rFonts w:ascii="Calibri" w:cs="Calibri" w:eastAsia="Calibri" w:hAnsi="Calibri"/>
          <w:b/>
          <w:bCs/>
          <w:color w:val="2E74B5"/>
          <w:sz w:val="20"/>
          <w:szCs w:val="20"/>
        </w:rPr>
        <w:t xml:space="preserve">Booz Allen Hamilton</w:t>
      </w:r>
      <w:r>
        <w:rPr>
          <w:rFonts w:ascii="Calibri" w:cs="Calibri" w:eastAsia="Calibri" w:hAnsi="Calibri"/>
          <w:i/>
          <w:iCs/>
          <w:color w:val="6B7280"/>
          <w:sz w:val="18"/>
          <w:szCs w:val="18"/>
        </w:rPr>
        <w:t xml:space="preserve">   |   Washington, DC</w:t>
      </w:r>
      <w:r>
        <w:rPr>
          <w:rFonts w:ascii="Calibri" w:cs="Calibri" w:eastAsia="Calibri" w:hAnsi="Calibri"/>
          <w:b/>
          <w:bCs/>
          <w:color w:val="1F4E79"/>
          <w:sz w:val="18"/>
          <w:szCs w:val="18"/>
        </w:rPr>
        <w:t xml:space="preserve">   |   Sep 2018 – Present</w:t>
      </w:r>
    </w:p>
    <w:p>
      <w:pPr>
        <w:spacing w:before="0" w:after="10"/>
      </w:pPr>
      <w:r>
        <w:rPr>
          <w:rFonts w:ascii="Calibri" w:cs="Calibri" w:eastAsia="Calibri" w:hAnsi="Calibri"/>
          <w:b/>
          <w:bCs/>
          <w:color w:val="374151"/>
          <w:sz w:val="18"/>
          <w:szCs w:val="18"/>
        </w:rPr>
        <w:t xml:space="preserve">Client/Scope: </w:t>
      </w:r>
      <w:r>
        <w:rPr>
          <w:rFonts w:ascii="Calibri" w:cs="Calibri" w:eastAsia="Calibri" w:hAnsi="Calibri"/>
          <w:i/>
          <w:iCs/>
          <w:color w:val="374151"/>
          <w:sz w:val="18"/>
          <w:szCs w:val="18"/>
        </w:rPr>
        <w:t xml:space="preserve">U.S. Department of Homeland Security (DHS CISA) &amp; FEMA</w:t>
      </w:r>
    </w:p>
    <w:p>
      <w:pPr>
        <w:spacing w:before="0" w:after="14"/>
      </w:pPr>
      <w:r>
        <w:rPr>
          <w:rFonts w:ascii="Calibri" w:cs="Calibri" w:eastAsia="Calibri" w:hAnsi="Calibri"/>
          <w:i/>
          <w:iCs/>
          <w:color w:val="4B5563"/>
          <w:sz w:val="18"/>
          <w:szCs w:val="18"/>
        </w:rPr>
        <w:t xml:space="preserve">Principal security architect and red team lead for DHS CISA's national cybersecurity program. Lead 9-engineer Red Team and 4-person threat hunting team conducting adversarial simulations against federal critical infrastructure. Own Zero Trust Architecture design for CISA's .gov-wide security transformation initiative.</w:t>
      </w:r>
    </w:p>
    <w:p>
      <w:pPr>
        <w:pStyle w:val="ListParagraph"/>
        <w:numPr>
          <w:ilvl w:val="0"/>
          <w:numId w:val="2"/>
        </w:numPr>
        <w:spacing w:before="30" w:after="30"/>
      </w:pPr>
      <w:r>
        <w:rPr>
          <w:rFonts w:ascii="Calibri" w:cs="Calibri" w:eastAsia="Calibri" w:hAnsi="Calibri"/>
          <w:color w:val="1C1C1C"/>
          <w:sz w:val="18"/>
          <w:szCs w:val="18"/>
        </w:rPr>
        <w:t xml:space="preserve">Led 9-engineer Red Team conducting full-scope APT simulation engagements against DHS critical infrastructure — executed 14 annual red team operations using MITRE ATT&amp;CK techniques (T1566.001, T1078, T1053.005, T1021.001, T1486 ransomware simulation) against 340 participating federal agencies; discovered 189 critical vulnerabilities averaging CVSS 9.1.</w:t>
      </w:r>
    </w:p>
    <w:p>
      <w:pPr>
        <w:pStyle w:val="ListParagraph"/>
        <w:numPr>
          <w:ilvl w:val="0"/>
          <w:numId w:val="2"/>
        </w:numPr>
        <w:spacing w:before="30" w:after="30"/>
      </w:pPr>
      <w:r>
        <w:rPr>
          <w:rFonts w:ascii="Calibri" w:cs="Calibri" w:eastAsia="Calibri" w:hAnsi="Calibri"/>
          <w:color w:val="1C1C1C"/>
          <w:sz w:val="18"/>
          <w:szCs w:val="18"/>
        </w:rPr>
        <w:t xml:space="preserve">Designed and delivered DHS's Zero Trust Architecture (ZTA) roadmap per NIST SP 800-207, M-22-09 federal mandate, and EO 14028 — deployed Zscaler Private Access (ZPA) BeyondCorp identity-aware proxy, Microsoft Entra Conditional Access with phishing-resistant MFA (FIDO2 hardware keys — YubiKey 5 series), and Illumio micro-segmentation across 340 federal agencies.</w:t>
      </w:r>
    </w:p>
    <w:p>
      <w:pPr>
        <w:pStyle w:val="ListParagraph"/>
        <w:numPr>
          <w:ilvl w:val="0"/>
          <w:numId w:val="2"/>
        </w:numPr>
        <w:spacing w:before="30" w:after="30"/>
      </w:pPr>
      <w:r>
        <w:rPr>
          <w:rFonts w:ascii="Calibri" w:cs="Calibri" w:eastAsia="Calibri" w:hAnsi="Calibri"/>
          <w:color w:val="1C1C1C"/>
          <w:sz w:val="18"/>
          <w:szCs w:val="18"/>
        </w:rPr>
        <w:t xml:space="preserve">Built CISA's national threat hunting platform 'CyberHunt' on Elasticsearch 8.14 + Kibana SIEM with custom YARA 4.5 rules, Sigma 1.0 rule conversion, and Velociraptor 0.7 endpoint forensics — correlating threat intelligence from 2,800 federal endpoints, 14 commercial ISAC feeds (FS-ISAC, H-ISAC, E-ISAC), and CISA's AIS STIX/TAXII feed.</w:t>
      </w:r>
    </w:p>
    <w:p>
      <w:pPr>
        <w:pStyle w:val="ListParagraph"/>
        <w:numPr>
          <w:ilvl w:val="0"/>
          <w:numId w:val="2"/>
        </w:numPr>
        <w:spacing w:before="30" w:after="30"/>
      </w:pPr>
      <w:r>
        <w:rPr>
          <w:rFonts w:ascii="Calibri" w:cs="Calibri" w:eastAsia="Calibri" w:hAnsi="Calibri"/>
          <w:color w:val="1C1C1C"/>
          <w:sz w:val="18"/>
          <w:szCs w:val="18"/>
        </w:rPr>
        <w:t xml:space="preserve">Developed automated APT detection and response playbooks using MITRE ATT&amp;CK Navigator v4, D3FEND defensive countermeasures mapping, and Splunk SOAR 6 — automated containment, host isolation, and evidence collection for 94% of Tier-2 detections; reduced MTTD from 72 hours to 4.2 hours, MTTR from 96 hours to 8.4 hours.</w:t>
      </w:r>
    </w:p>
    <w:p>
      <w:pPr>
        <w:pStyle w:val="ListParagraph"/>
        <w:numPr>
          <w:ilvl w:val="0"/>
          <w:numId w:val="2"/>
        </w:numPr>
        <w:spacing w:before="30" w:after="30"/>
      </w:pPr>
      <w:r>
        <w:rPr>
          <w:rFonts w:ascii="Calibri" w:cs="Calibri" w:eastAsia="Calibri" w:hAnsi="Calibri"/>
          <w:color w:val="1C1C1C"/>
          <w:sz w:val="18"/>
          <w:szCs w:val="18"/>
        </w:rPr>
        <w:t xml:space="preserve">Discovered CVE-2022-34713 (PrintNightmare variant, CVSS 9.8) in Windows Print Spooler and 7 additional Microsoft vulnerabilities including 3 Kerberoasting privilege escalation chains; coordinated responsible disclosure with Microsoft MSRC and CISA KEV (Known Exploited Vulnerability) catalog; oversaw patch deployment across 2.4M federal Windows endpoints.</w:t>
      </w:r>
    </w:p>
    <w:p>
      <w:pPr>
        <w:pStyle w:val="ListParagraph"/>
        <w:numPr>
          <w:ilvl w:val="0"/>
          <w:numId w:val="2"/>
        </w:numPr>
        <w:spacing w:before="30" w:after="30"/>
      </w:pPr>
      <w:r>
        <w:rPr>
          <w:rFonts w:ascii="Calibri" w:cs="Calibri" w:eastAsia="Calibri" w:hAnsi="Calibri"/>
          <w:color w:val="1C1C1C"/>
          <w:sz w:val="18"/>
          <w:szCs w:val="18"/>
        </w:rPr>
        <w:t xml:space="preserve">Architected FedRAMP High ATO (Authority to Operate) for CISA's cloud-based threat intelligence platform on AWS GovCloud (us-gov-east-1) — authored 247 security control narratives (NIST SP 800-53 Rev.5), coordinated 3PAO assessment with Coalfire, implemented POA&amp;M remediation — achieved ATO in 8 months (40% faster than agency average of 14 months).</w:t>
      </w:r>
    </w:p>
    <w:p>
      <w:pPr>
        <w:pStyle w:val="ListParagraph"/>
        <w:numPr>
          <w:ilvl w:val="0"/>
          <w:numId w:val="2"/>
        </w:numPr>
        <w:spacing w:before="30" w:after="30"/>
      </w:pPr>
      <w:r>
        <w:rPr>
          <w:rFonts w:ascii="Calibri" w:cs="Calibri" w:eastAsia="Calibri" w:hAnsi="Calibri"/>
          <w:color w:val="1C1C1C"/>
          <w:sz w:val="18"/>
          <w:szCs w:val="18"/>
        </w:rPr>
        <w:t xml:space="preserve">Created and delivered CISA National Cybersecurity Training Program 'Shield Up' — 18-module curriculum covering red team tactics, ransomware response, supply chain security, and Active Directory hardening; delivered to 14,400 federal cybersecurity professionals across 48 agencies via virtual and in-person workshops.</w:t>
      </w:r>
    </w:p>
    <w:p>
      <w:pPr>
        <w:pStyle w:val="ListParagraph"/>
        <w:numPr>
          <w:ilvl w:val="0"/>
          <w:numId w:val="2"/>
        </w:numPr>
        <w:spacing w:before="30" w:after="30"/>
      </w:pPr>
      <w:r>
        <w:rPr>
          <w:rFonts w:ascii="Calibri" w:cs="Calibri" w:eastAsia="Calibri" w:hAnsi="Calibri"/>
          <w:color w:val="1C1C1C"/>
          <w:sz w:val="18"/>
          <w:szCs w:val="18"/>
        </w:rPr>
        <w:t xml:space="preserve">Briefed CISA Director Jen Easterly, DHS Deputy Secretary John Tien, and NSC cyber staff on 4 critical APT campaigns (VOLT TYPHOON ICS targeting, APT40 maritime sector, SANDWORM ICS/OT, Lazarus Group financial) — produced 18 classified threat intelligence reports and 6 public TLP:WHITE advisories.</w:t>
      </w:r>
    </w:p>
    <w:p>
      <w:pPr>
        <w:pStyle w:val="ListParagraph"/>
        <w:numPr>
          <w:ilvl w:val="0"/>
          <w:numId w:val="2"/>
        </w:numPr>
        <w:spacing w:before="30" w:after="30"/>
      </w:pPr>
      <w:r>
        <w:rPr>
          <w:rFonts w:ascii="Calibri" w:cs="Calibri" w:eastAsia="Calibri" w:hAnsi="Calibri"/>
          <w:color w:val="1C1C1C"/>
          <w:sz w:val="18"/>
          <w:szCs w:val="18"/>
        </w:rPr>
        <w:t xml:space="preserve">Led FEMA's SOC 2 Type II + ISO 27001:2022 certification program — implemented continuous control monitoring using Drata GRC platform, remediated 840 control gaps, achieved dual certification in 11 months.</w:t>
      </w:r>
    </w:p>
    <w:p>
      <w:pPr>
        <w:pStyle w:val="ListParagraph"/>
        <w:numPr>
          <w:ilvl w:val="0"/>
          <w:numId w:val="2"/>
        </w:numPr>
        <w:spacing w:before="30" w:after="30"/>
      </w:pPr>
      <w:r>
        <w:rPr>
          <w:rFonts w:ascii="Calibri" w:cs="Calibri" w:eastAsia="Calibri" w:hAnsi="Calibri"/>
          <w:color w:val="1C1C1C"/>
          <w:sz w:val="18"/>
          <w:szCs w:val="18"/>
        </w:rPr>
        <w:t xml:space="preserve">Conducted ICS/SCADA security assessments for 4 DHS CISA critical infrastructure partners — assessed Siemens S7-1500 PLCs, GE iFIX SCADA, ABB System 800xA DCS using Dragos OT platform, Claroty, and Nessus SCADA plugins; discovered 44 critical OT vulnerabilities including 8 remote code execution flaws.</w:t>
      </w:r>
    </w:p>
    <w:p>
      <w:pPr>
        <w:spacing w:before="200" w:after="10"/>
      </w:pPr>
    </w:p>
    <w:p>
      <w:pPr>
        <w:spacing w:before="0" w:after="10"/>
      </w:pPr>
      <w:r>
        <w:rPr>
          <w:rFonts w:ascii="Calibri" w:cs="Calibri" w:eastAsia="Calibri" w:hAnsi="Calibri"/>
          <w:b/>
          <w:bCs/>
          <w:color w:val="1F4E79"/>
          <w:sz w:val="23"/>
          <w:szCs w:val="23"/>
        </w:rPr>
        <w:t xml:space="preserve">Senior Penetration Tester &amp; Malware Analyst</w:t>
      </w:r>
    </w:p>
    <w:p>
      <w:pPr>
        <w:spacing w:before="0" w:after="8"/>
      </w:pPr>
      <w:r>
        <w:rPr>
          <w:rFonts w:ascii="Calibri" w:cs="Calibri" w:eastAsia="Calibri" w:hAnsi="Calibri"/>
          <w:b/>
          <w:bCs/>
          <w:color w:val="2E74B5"/>
          <w:sz w:val="20"/>
          <w:szCs w:val="20"/>
        </w:rPr>
        <w:t xml:space="preserve">Mandiant (now Google Cloud Security)</w:t>
      </w:r>
      <w:r>
        <w:rPr>
          <w:rFonts w:ascii="Calibri" w:cs="Calibri" w:eastAsia="Calibri" w:hAnsi="Calibri"/>
          <w:i/>
          <w:iCs/>
          <w:color w:val="6B7280"/>
          <w:sz w:val="18"/>
          <w:szCs w:val="18"/>
        </w:rPr>
        <w:t xml:space="preserve">   |   Tysons Corner, VA</w:t>
      </w:r>
      <w:r>
        <w:rPr>
          <w:rFonts w:ascii="Calibri" w:cs="Calibri" w:eastAsia="Calibri" w:hAnsi="Calibri"/>
          <w:b/>
          <w:bCs/>
          <w:color w:val="1F4E79"/>
          <w:sz w:val="18"/>
          <w:szCs w:val="18"/>
        </w:rPr>
        <w:t xml:space="preserve">   |   Mar 2013 – Aug 2018</w:t>
      </w:r>
    </w:p>
    <w:p>
      <w:pPr>
        <w:spacing w:before="0" w:after="10"/>
      </w:pPr>
      <w:r>
        <w:rPr>
          <w:rFonts w:ascii="Calibri" w:cs="Calibri" w:eastAsia="Calibri" w:hAnsi="Calibri"/>
          <w:b/>
          <w:bCs/>
          <w:color w:val="374151"/>
          <w:sz w:val="18"/>
          <w:szCs w:val="18"/>
        </w:rPr>
        <w:t xml:space="preserve">Client/Scope: </w:t>
      </w:r>
      <w:r>
        <w:rPr>
          <w:rFonts w:ascii="Calibri" w:cs="Calibri" w:eastAsia="Calibri" w:hAnsi="Calibri"/>
          <w:i/>
          <w:iCs/>
          <w:color w:val="374151"/>
          <w:sz w:val="18"/>
          <w:szCs w:val="18"/>
        </w:rPr>
        <w:t xml:space="preserve">Fortune 100 Financial, Healthcare, Energy &amp; Defense Clients</w:t>
      </w:r>
    </w:p>
    <w:p>
      <w:pPr>
        <w:spacing w:before="0" w:after="14"/>
      </w:pPr>
      <w:r>
        <w:rPr>
          <w:rFonts w:ascii="Calibri" w:cs="Calibri" w:eastAsia="Calibri" w:hAnsi="Calibri"/>
          <w:i/>
          <w:iCs/>
          <w:color w:val="4B5563"/>
          <w:sz w:val="18"/>
          <w:szCs w:val="18"/>
        </w:rPr>
        <w:t xml:space="preserve">Senior penetration tester, red team operator, and malware analyst delivering offensive security assessments and incident response for Mandiant's enterprise client portfolio of 48 Fortune 100 companies.</w:t>
      </w:r>
    </w:p>
    <w:p>
      <w:pPr>
        <w:pStyle w:val="ListParagraph"/>
        <w:numPr>
          <w:ilvl w:val="0"/>
          <w:numId w:val="2"/>
        </w:numPr>
        <w:spacing w:before="30" w:after="30"/>
      </w:pPr>
      <w:r>
        <w:rPr>
          <w:rFonts w:ascii="Calibri" w:cs="Calibri" w:eastAsia="Calibri" w:hAnsi="Calibri"/>
          <w:color w:val="1C1C1C"/>
          <w:sz w:val="18"/>
          <w:szCs w:val="18"/>
        </w:rPr>
        <w:t xml:space="preserve">Executed 80+ penetration tests and red team engagements for Fortune 100 clients including JPMorgan Chase, Anthem Health, ExxonMobil, Boeing, and Northrop Grumman — scope included external network, internal network, web application, spear phishing, physical security, and assumed-breach assessments; achieved domain admin escalation on 94% of internal network assessments.</w:t>
      </w:r>
    </w:p>
    <w:p>
      <w:pPr>
        <w:pStyle w:val="ListParagraph"/>
        <w:numPr>
          <w:ilvl w:val="0"/>
          <w:numId w:val="2"/>
        </w:numPr>
        <w:spacing w:before="30" w:after="30"/>
      </w:pPr>
      <w:r>
        <w:rPr>
          <w:rFonts w:ascii="Calibri" w:cs="Calibri" w:eastAsia="Calibri" w:hAnsi="Calibri"/>
          <w:color w:val="1C1C1C"/>
          <w:sz w:val="18"/>
          <w:szCs w:val="18"/>
        </w:rPr>
        <w:t xml:space="preserve">Led Advanced Threat Hunting and incident response for 3 major financial institutions following APT32 (OceanLotus) compromise — identified 22 previously unknown persistence mechanisms (COM hijacking, WMI subscriptions, BITS jobs), 8 C2 channels (DNS, HTTPS, Slack webhooks, GitHub Gist), and 4.2GB of exfiltrated financial data across 14 compromised systems.</w:t>
      </w:r>
    </w:p>
    <w:p>
      <w:pPr>
        <w:pStyle w:val="ListParagraph"/>
        <w:numPr>
          <w:ilvl w:val="0"/>
          <w:numId w:val="2"/>
        </w:numPr>
        <w:spacing w:before="30" w:after="30"/>
      </w:pPr>
      <w:r>
        <w:rPr>
          <w:rFonts w:ascii="Calibri" w:cs="Calibri" w:eastAsia="Calibri" w:hAnsi="Calibri"/>
          <w:color w:val="1C1C1C"/>
          <w:sz w:val="18"/>
          <w:szCs w:val="18"/>
        </w:rPr>
        <w:t xml:space="preserve">Developed custom C2 framework 'Obsidian' in Go 1.18 — DNS-over-HTTPS (DoH) + HTTPS malleable C2 traffic, process injection via DInvoke, AMSI bypass, ETW bypass, and kernel callback removal; successfully evaded CrowdStrike Falcon, Microsoft Defender for Endpoint, Carbon Black, and SentinelOne in blind evaluations.</w:t>
      </w:r>
    </w:p>
    <w:p>
      <w:pPr>
        <w:pStyle w:val="ListParagraph"/>
        <w:numPr>
          <w:ilvl w:val="0"/>
          <w:numId w:val="2"/>
        </w:numPr>
        <w:spacing w:before="30" w:after="30"/>
      </w:pPr>
      <w:r>
        <w:rPr>
          <w:rFonts w:ascii="Calibri" w:cs="Calibri" w:eastAsia="Calibri" w:hAnsi="Calibri"/>
          <w:color w:val="1C1C1C"/>
          <w:sz w:val="18"/>
          <w:szCs w:val="18"/>
        </w:rPr>
        <w:t xml:space="preserve">Built Mandiant's automated vulnerability management platform integrating Tenable.sc 5.x, Qualys VMDR, DefectDojo 2.x, and custom ML risk prioritization — ingesting 380,000 vulnerability records/month from 2,800 client environments; ML model (XGBoost + CVSS + exploit availability + asset criticality) reduced critical remediation backlog by 78% by prioritizing actionable findings.</w:t>
      </w:r>
    </w:p>
    <w:p>
      <w:pPr>
        <w:pStyle w:val="ListParagraph"/>
        <w:numPr>
          <w:ilvl w:val="0"/>
          <w:numId w:val="2"/>
        </w:numPr>
        <w:spacing w:before="30" w:after="30"/>
      </w:pPr>
      <w:r>
        <w:rPr>
          <w:rFonts w:ascii="Calibri" w:cs="Calibri" w:eastAsia="Calibri" w:hAnsi="Calibri"/>
          <w:color w:val="1C1C1C"/>
          <w:sz w:val="18"/>
          <w:szCs w:val="18"/>
        </w:rPr>
        <w:t xml:space="preserve">Performed SAST security code review across 4.2M lines of banking application code using Checkmarx SAST 10.x and Semgrep OSS rules — identified 3,400 security defects including 12 authentication bypasses (JWT none algorithm, OAuth implicit flow CSRF), 8 SQL injection chains, 14 insecure deserialization vulnerabilities in Java Jackson ObjectMapper.</w:t>
      </w:r>
    </w:p>
    <w:p>
      <w:pPr>
        <w:pStyle w:val="ListParagraph"/>
        <w:numPr>
          <w:ilvl w:val="0"/>
          <w:numId w:val="2"/>
        </w:numPr>
        <w:spacing w:before="30" w:after="30"/>
      </w:pPr>
      <w:r>
        <w:rPr>
          <w:rFonts w:ascii="Calibri" w:cs="Calibri" w:eastAsia="Calibri" w:hAnsi="Calibri"/>
          <w:color w:val="1C1C1C"/>
          <w:sz w:val="18"/>
          <w:szCs w:val="18"/>
        </w:rPr>
        <w:t xml:space="preserve">Conducted red team exercise for US Army Cyber Command (ARCYBER) — full-scope adversarial simulation using nation-state TTPs (APT28 playbook) against 48 target systems; identified 3 zero-day vulnerabilities in Cisco AnyConnect, Palo Alto GlobalProtect, and FortiGate SSL VPN (all responsibly disclosed, CVE assigned).</w:t>
      </w:r>
    </w:p>
    <w:p>
      <w:pPr>
        <w:pStyle w:val="ListParagraph"/>
        <w:numPr>
          <w:ilvl w:val="0"/>
          <w:numId w:val="2"/>
        </w:numPr>
        <w:spacing w:before="30" w:after="30"/>
      </w:pPr>
      <w:r>
        <w:rPr>
          <w:rFonts w:ascii="Calibri" w:cs="Calibri" w:eastAsia="Calibri" w:hAnsi="Calibri"/>
          <w:color w:val="1C1C1C"/>
          <w:sz w:val="18"/>
          <w:szCs w:val="18"/>
        </w:rPr>
        <w:t xml:space="preserve">Trained and mentored 18 junior penetration testers through Mandiant's structured apprenticeship program — delivered 140-hour 'Advanced Offensive Security' internal training curriculum; 11 obtained OSCP, 6 obtained OSEP within 6 months of mentorship.</w:t>
      </w:r>
    </w:p>
    <w:p>
      <w:pPr>
        <w:pStyle w:val="ListParagraph"/>
        <w:numPr>
          <w:ilvl w:val="0"/>
          <w:numId w:val="2"/>
        </w:numPr>
        <w:spacing w:before="30" w:after="30"/>
      </w:pPr>
      <w:r>
        <w:rPr>
          <w:rFonts w:ascii="Calibri" w:cs="Calibri" w:eastAsia="Calibri" w:hAnsi="Calibri"/>
          <w:color w:val="1C1C1C"/>
          <w:sz w:val="18"/>
          <w:szCs w:val="18"/>
        </w:rPr>
        <w:t xml:space="preserve">Led Mandiant's Healthcare sector red team practice — developed HIPAA-specific ATT&amp;CK playbooks, HL7/FHIR API security testing methodology, and medical device (FDA 510(k) clearance category) IoT pentesting framework used across 22 healthcare system engagements.</w:t>
      </w:r>
    </w:p>
    <w:p>
      <w:pPr>
        <w:spacing w:before="200" w:after="10"/>
      </w:pPr>
    </w:p>
    <w:p>
      <w:pPr>
        <w:spacing w:before="0" w:after="10"/>
      </w:pPr>
      <w:r>
        <w:rPr>
          <w:rFonts w:ascii="Calibri" w:cs="Calibri" w:eastAsia="Calibri" w:hAnsi="Calibri"/>
          <w:b/>
          <w:bCs/>
          <w:color w:val="1F4E79"/>
          <w:sz w:val="23"/>
          <w:szCs w:val="23"/>
        </w:rPr>
        <w:t xml:space="preserve">SOC Analyst Tier III → Security Engineer</w:t>
      </w:r>
    </w:p>
    <w:p>
      <w:pPr>
        <w:spacing w:before="0" w:after="8"/>
      </w:pPr>
      <w:r>
        <w:rPr>
          <w:rFonts w:ascii="Calibri" w:cs="Calibri" w:eastAsia="Calibri" w:hAnsi="Calibri"/>
          <w:b/>
          <w:bCs/>
          <w:color w:val="2E74B5"/>
          <w:sz w:val="20"/>
          <w:szCs w:val="20"/>
        </w:rPr>
        <w:t xml:space="preserve">Leidos Holdings Inc.</w:t>
      </w:r>
      <w:r>
        <w:rPr>
          <w:rFonts w:ascii="Calibri" w:cs="Calibri" w:eastAsia="Calibri" w:hAnsi="Calibri"/>
          <w:i/>
          <w:iCs/>
          <w:color w:val="6B7280"/>
          <w:sz w:val="18"/>
          <w:szCs w:val="18"/>
        </w:rPr>
        <w:t xml:space="preserve">   |   Alexandria, VA</w:t>
      </w:r>
      <w:r>
        <w:rPr>
          <w:rFonts w:ascii="Calibri" w:cs="Calibri" w:eastAsia="Calibri" w:hAnsi="Calibri"/>
          <w:b/>
          <w:bCs/>
          <w:color w:val="1F4E79"/>
          <w:sz w:val="18"/>
          <w:szCs w:val="18"/>
        </w:rPr>
        <w:t xml:space="preserve">   |   Jul 2009 – Feb 2013</w:t>
      </w:r>
    </w:p>
    <w:p>
      <w:pPr>
        <w:spacing w:before="0" w:after="10"/>
      </w:pPr>
      <w:r>
        <w:rPr>
          <w:rFonts w:ascii="Calibri" w:cs="Calibri" w:eastAsia="Calibri" w:hAnsi="Calibri"/>
          <w:b/>
          <w:bCs/>
          <w:color w:val="374151"/>
          <w:sz w:val="18"/>
          <w:szCs w:val="18"/>
        </w:rPr>
        <w:t xml:space="preserve">Client/Scope: </w:t>
      </w:r>
      <w:r>
        <w:rPr>
          <w:rFonts w:ascii="Calibri" w:cs="Calibri" w:eastAsia="Calibri" w:hAnsi="Calibri"/>
          <w:i/>
          <w:iCs/>
          <w:color w:val="374151"/>
          <w:sz w:val="18"/>
          <w:szCs w:val="18"/>
        </w:rPr>
        <w:t xml:space="preserve">U.S. Department of Defense (DoD DISA Global SOC)</w:t>
      </w:r>
    </w:p>
    <w:p>
      <w:pPr>
        <w:spacing w:before="0" w:after="14"/>
      </w:pPr>
      <w:r>
        <w:rPr>
          <w:rFonts w:ascii="Calibri" w:cs="Calibri" w:eastAsia="Calibri" w:hAnsi="Calibri"/>
          <w:i/>
          <w:iCs/>
          <w:color w:val="4B5563"/>
          <w:sz w:val="18"/>
          <w:szCs w:val="18"/>
        </w:rPr>
        <w:t xml:space="preserve">Tier III SOC analyst and security engineer supporting DoD DISA's global network security monitoring across NIPRNET and SIPRNET.</w:t>
      </w:r>
    </w:p>
    <w:p>
      <w:pPr>
        <w:pStyle w:val="ListParagraph"/>
        <w:numPr>
          <w:ilvl w:val="0"/>
          <w:numId w:val="2"/>
        </w:numPr>
        <w:spacing w:before="30" w:after="30"/>
      </w:pPr>
      <w:r>
        <w:rPr>
          <w:rFonts w:ascii="Calibri" w:cs="Calibri" w:eastAsia="Calibri" w:hAnsi="Calibri"/>
          <w:color w:val="1C1C1C"/>
          <w:sz w:val="18"/>
          <w:szCs w:val="18"/>
        </w:rPr>
        <w:t xml:space="preserve">Monitored and analyzed 4.2 billion daily security events from DoD's global network (NIPRNET/SIPRNET) using ArcSight ESM 7.x SIEM — triaged 1,200+ alerts/day; developed 140 correlation rules reducing false positive rate from 89% to 12%.</w:t>
      </w:r>
    </w:p>
    <w:p>
      <w:pPr>
        <w:pStyle w:val="ListParagraph"/>
        <w:numPr>
          <w:ilvl w:val="0"/>
          <w:numId w:val="2"/>
        </w:numPr>
        <w:spacing w:before="30" w:after="30"/>
      </w:pPr>
      <w:r>
        <w:rPr>
          <w:rFonts w:ascii="Calibri" w:cs="Calibri" w:eastAsia="Calibri" w:hAnsi="Calibri"/>
          <w:color w:val="1C1C1C"/>
          <w:sz w:val="18"/>
          <w:szCs w:val="18"/>
        </w:rPr>
        <w:t xml:space="preserve">Led forensic investigations of 28 confirmed APT intrusions using EnCase Forensic, FTK 6.x, and Volatility 2.6 memory forensics — attributed 18 intrusions to known APT groups (APT1, APT3, APT41) using Diamond Model threat intelligence; produced 280-page classified technical intelligence reports.</w:t>
      </w:r>
    </w:p>
    <w:p>
      <w:pPr>
        <w:pStyle w:val="ListParagraph"/>
        <w:numPr>
          <w:ilvl w:val="0"/>
          <w:numId w:val="2"/>
        </w:numPr>
        <w:spacing w:before="30" w:after="30"/>
      </w:pPr>
      <w:r>
        <w:rPr>
          <w:rFonts w:ascii="Calibri" w:cs="Calibri" w:eastAsia="Calibri" w:hAnsi="Calibri"/>
          <w:color w:val="1C1C1C"/>
          <w:sz w:val="18"/>
          <w:szCs w:val="18"/>
        </w:rPr>
        <w:t xml:space="preserve">Built network traffic analysis capability using Zeek (formerly Bro) 5.x + Suricata 6.x + custom Lua scripts detecting 14 novel C2 communication patterns not covered by existing Snort rules.</w:t>
      </w:r>
    </w:p>
    <w:p>
      <w:pPr>
        <w:pStyle w:val="ListParagraph"/>
        <w:numPr>
          <w:ilvl w:val="0"/>
          <w:numId w:val="2"/>
        </w:numPr>
        <w:spacing w:before="30" w:after="30"/>
      </w:pPr>
      <w:r>
        <w:rPr>
          <w:rFonts w:ascii="Calibri" w:cs="Calibri" w:eastAsia="Calibri" w:hAnsi="Calibri"/>
          <w:color w:val="1C1C1C"/>
          <w:sz w:val="18"/>
          <w:szCs w:val="18"/>
        </w:rPr>
        <w:t xml:space="preserve">Participated in NSA Vulnerability Disclosure Program — discovered and reported 4 vulnerabilities in DISA STIG baseline configurations including an unauthenticated RCE in legacy IBM WebSphere MQ 7.x DISA deployment.</w:t>
      </w:r>
    </w:p>
    <w:p>
      <w:pPr>
        <w:pStyle w:val="ListParagraph"/>
        <w:numPr>
          <w:ilvl w:val="0"/>
          <w:numId w:val="2"/>
        </w:numPr>
        <w:spacing w:before="30" w:after="30"/>
      </w:pPr>
      <w:r>
        <w:rPr>
          <w:rFonts w:ascii="Calibri" w:cs="Calibri" w:eastAsia="Calibri" w:hAnsi="Calibri"/>
          <w:color w:val="1C1C1C"/>
          <w:sz w:val="18"/>
          <w:szCs w:val="18"/>
        </w:rPr>
        <w:t xml:space="preserve">Held TS/SCI clearance with CI Polygraph; received DISA 'Excellence in Service Award' 2012 for outstanding APT threat hunting contributions.</w:t>
      </w:r>
    </w:p>
    <w:p>
      <w:pPr>
        <w:pBdr>
          <w:bottom w:val="single" w:color="1F4E79" w:sz="8" w:space="1"/>
        </w:pBdr>
        <w:spacing w:before="300" w:after="80"/>
      </w:pPr>
      <w:r>
        <w:rPr>
          <w:rFonts w:ascii="Calibri" w:cs="Calibri" w:eastAsia="Calibri" w:hAnsi="Calibri"/>
          <w:b/>
          <w:bCs/>
          <w:color w:val="1F4E79"/>
          <w:sz w:val="22"/>
          <w:szCs w:val="22"/>
        </w:rPr>
        <w:t xml:space="preserve">OPEN SOURCE PROJECTS &amp; TECHNICAL CONTRIBUTIONS</w:t>
      </w:r>
    </w:p>
    <w:p>
      <w:pPr>
        <w:spacing w:before="80" w:after="20"/>
      </w:pPr>
      <w:r>
        <w:rPr>
          <w:rFonts w:ascii="Calibri" w:cs="Calibri" w:eastAsia="Calibri" w:hAnsi="Calibri"/>
          <w:b/>
          <w:bCs/>
          <w:color w:val="1F4E79"/>
          <w:sz w:val="19"/>
          <w:szCs w:val="19"/>
        </w:rPr>
        <w:t xml:space="preserve">BloodHound Community Contributor: </w:t>
      </w:r>
      <w:r>
        <w:rPr>
          <w:rFonts w:ascii="Calibri" w:cs="Calibri" w:eastAsia="Calibri" w:hAnsi="Calibri"/>
          <w:sz w:val="18"/>
          <w:szCs w:val="18"/>
        </w:rPr>
        <w:t xml:space="preserve">Contributed 14 pull requests to BloodHound CE (SpecterOps) — added 8 new attack path queries for Azure AD/Entra ID including AZAddOwner, AZGlobalAdmin escalation chains. PRs merged into BloodHound 5.0.</w:t>
      </w:r>
    </w:p>
    <w:p>
      <w:pPr>
        <w:spacing w:before="80" w:after="20"/>
      </w:pPr>
      <w:r>
        <w:rPr>
          <w:rFonts w:ascii="Calibri" w:cs="Calibri" w:eastAsia="Calibri" w:hAnsi="Calibri"/>
          <w:b/>
          <w:bCs/>
          <w:color w:val="1F4E79"/>
          <w:sz w:val="19"/>
          <w:szCs w:val="19"/>
        </w:rPr>
        <w:t xml:space="preserve">sigma-to-splunk-converter (OSS): </w:t>
      </w:r>
      <w:r>
        <w:rPr>
          <w:rFonts w:ascii="Calibri" w:cs="Calibri" w:eastAsia="Calibri" w:hAnsi="Calibri"/>
          <w:sz w:val="18"/>
          <w:szCs w:val="18"/>
        </w:rPr>
        <w:t xml:space="preserve">Python tool converting 2,800+ Sigma detection rules to Splunk SPL with field mapping for CrowdStrike EDR, Windows Security Events, and Sysmon — 2,100 GitHub stars; used by 340 SIEM analysts globally.</w:t>
      </w:r>
    </w:p>
    <w:p>
      <w:pPr>
        <w:spacing w:before="80" w:after="20"/>
      </w:pPr>
      <w:r>
        <w:rPr>
          <w:rFonts w:ascii="Calibri" w:cs="Calibri" w:eastAsia="Calibri" w:hAnsi="Calibri"/>
          <w:b/>
          <w:bCs/>
          <w:color w:val="1F4E79"/>
          <w:sz w:val="19"/>
          <w:szCs w:val="19"/>
        </w:rPr>
        <w:t xml:space="preserve">C2-Detection-Lab (OSS): </w:t>
      </w:r>
      <w:r>
        <w:rPr>
          <w:rFonts w:ascii="Calibri" w:cs="Calibri" w:eastAsia="Calibri" w:hAnsi="Calibri"/>
          <w:sz w:val="18"/>
          <w:szCs w:val="18"/>
        </w:rPr>
        <w:t xml:space="preserve">Automated threat simulation lab using Terraform + Vagrant deploying Windows AD domain with Splunk SIEM, Sysmon, and 18 C2 frameworks for detection rule development — 1,800 GitHub stars; used in university security courses.</w:t>
      </w:r>
    </w:p>
    <w:p>
      <w:pPr>
        <w:pBdr>
          <w:bottom w:val="single" w:color="1F4E79" w:sz="8" w:space="1"/>
        </w:pBdr>
        <w:spacing w:before="300" w:after="80"/>
      </w:pPr>
      <w:r>
        <w:rPr>
          <w:rFonts w:ascii="Calibri" w:cs="Calibri" w:eastAsia="Calibri" w:hAnsi="Calibri"/>
          <w:b/>
          <w:bCs/>
          <w:color w:val="1F4E79"/>
          <w:sz w:val="22"/>
          <w:szCs w:val="22"/>
        </w:rPr>
        <w:t xml:space="preserve">EDUCATION</w:t>
      </w:r>
    </w:p>
    <w:p>
      <w:pPr>
        <w:spacing w:before="80" w:after="10"/>
      </w:pPr>
      <w:r>
        <w:rPr>
          <w:rFonts w:ascii="Calibri" w:cs="Calibri" w:eastAsia="Calibri" w:hAnsi="Calibri"/>
          <w:b/>
          <w:bCs/>
          <w:color w:val="1F4E79"/>
          <w:sz w:val="20"/>
          <w:szCs w:val="20"/>
        </w:rPr>
        <w:t xml:space="preserve">M.S. Information Security Engineering</w:t>
      </w:r>
    </w:p>
    <w:p>
      <w:pPr>
        <w:spacing w:before="0" w:after="30"/>
      </w:pPr>
      <w:r>
        <w:rPr>
          <w:rFonts w:ascii="Calibri" w:cs="Calibri" w:eastAsia="Calibri" w:hAnsi="Calibri"/>
          <w:color w:val="374151"/>
          <w:sz w:val="19"/>
          <w:szCs w:val="19"/>
        </w:rPr>
        <w:t xml:space="preserve">George Mason University, Volgenau School of Engineering</w:t>
      </w:r>
      <w:r>
        <w:rPr>
          <w:rFonts w:ascii="Calibri" w:cs="Calibri" w:eastAsia="Calibri" w:hAnsi="Calibri"/>
          <w:i/>
          <w:iCs/>
          <w:color w:val="6B7280"/>
          <w:sz w:val="18"/>
          <w:szCs w:val="18"/>
        </w:rPr>
        <w:t xml:space="preserve">   |   Graduated: 2009</w:t>
      </w:r>
    </w:p>
    <w:p>
      <w:pPr>
        <w:spacing w:before="0" w:after="50"/>
      </w:pPr>
      <w:r>
        <w:rPr>
          <w:rFonts w:ascii="Calibri" w:cs="Calibri" w:eastAsia="Calibri" w:hAnsi="Calibri"/>
          <w:i/>
          <w:iCs/>
          <w:color w:val="6B7280"/>
          <w:sz w:val="17"/>
          <w:szCs w:val="17"/>
        </w:rPr>
        <w:t xml:space="preserve">GPA: 3.92/4.0 | Center for Secure Information Systems Research Fellowship | Thesis: 'Detecting Covert Timing Channels in Network Traffic Using Statistical Analysis'</w:t>
      </w:r>
    </w:p>
    <w:p>
      <w:pPr>
        <w:spacing w:before="80" w:after="10"/>
      </w:pPr>
      <w:r>
        <w:rPr>
          <w:rFonts w:ascii="Calibri" w:cs="Calibri" w:eastAsia="Calibri" w:hAnsi="Calibri"/>
          <w:b/>
          <w:bCs/>
          <w:color w:val="1F4E79"/>
          <w:sz w:val="20"/>
          <w:szCs w:val="20"/>
        </w:rPr>
        <w:t xml:space="preserve">B.S. Computer Science (Minor: Mathematics)</w:t>
      </w:r>
    </w:p>
    <w:p>
      <w:pPr>
        <w:spacing w:before="0" w:after="30"/>
      </w:pPr>
      <w:r>
        <w:rPr>
          <w:rFonts w:ascii="Calibri" w:cs="Calibri" w:eastAsia="Calibri" w:hAnsi="Calibri"/>
          <w:color w:val="374151"/>
          <w:sz w:val="19"/>
          <w:szCs w:val="19"/>
        </w:rPr>
        <w:t xml:space="preserve">Virginia Polytechnic Institute and State University (Virginia Tech)</w:t>
      </w:r>
      <w:r>
        <w:rPr>
          <w:rFonts w:ascii="Calibri" w:cs="Calibri" w:eastAsia="Calibri" w:hAnsi="Calibri"/>
          <w:i/>
          <w:iCs/>
          <w:color w:val="6B7280"/>
          <w:sz w:val="18"/>
          <w:szCs w:val="18"/>
        </w:rPr>
        <w:t xml:space="preserve">   |   Graduated: 2007</w:t>
      </w:r>
    </w:p>
    <w:p>
      <w:pPr>
        <w:spacing w:before="0" w:after="50"/>
      </w:pPr>
      <w:r>
        <w:rPr>
          <w:rFonts w:ascii="Calibri" w:cs="Calibri" w:eastAsia="Calibri" w:hAnsi="Calibri"/>
          <w:i/>
          <w:iCs/>
          <w:color w:val="6B7280"/>
          <w:sz w:val="17"/>
          <w:szCs w:val="17"/>
        </w:rPr>
        <w:t xml:space="preserve">GPA: 3.70/4.0 | Virginia Space Grant Consortium Scholarship | ACM Programming Team</w:t>
      </w:r>
    </w:p>
    <w:p>
      <w:pPr>
        <w:pBdr>
          <w:bottom w:val="single" w:color="1F4E79" w:sz="8" w:space="1"/>
        </w:pBdr>
        <w:spacing w:before="300" w:after="80"/>
      </w:pPr>
      <w:r>
        <w:rPr>
          <w:rFonts w:ascii="Calibri" w:cs="Calibri" w:eastAsia="Calibri" w:hAnsi="Calibri"/>
          <w:b/>
          <w:bCs/>
          <w:color w:val="1F4E79"/>
          <w:sz w:val="22"/>
          <w:szCs w:val="22"/>
        </w:rPr>
        <w:t xml:space="preserve">PROFESSIONAL CERTIFICATIONS</w:t>
      </w:r>
    </w:p>
    <w:p>
      <w:pPr>
        <w:pStyle w:val="ListParagraph"/>
        <w:numPr>
          <w:ilvl w:val="0"/>
          <w:numId w:val="2"/>
        </w:numPr>
        <w:spacing w:before="30" w:after="30"/>
      </w:pPr>
      <w:r>
        <w:rPr>
          <w:rFonts w:ascii="Calibri" w:cs="Calibri" w:eastAsia="Calibri" w:hAnsi="Calibri"/>
          <w:color w:val="1C1C1C"/>
          <w:sz w:val="18"/>
          <w:szCs w:val="18"/>
        </w:rPr>
        <w:t xml:space="preserve">Certified Information Systems Security Professional (CISSP) — ISC2, 2015 (Active, Renewal 2024)</w:t>
      </w:r>
    </w:p>
    <w:p>
      <w:pPr>
        <w:pStyle w:val="ListParagraph"/>
        <w:numPr>
          <w:ilvl w:val="0"/>
          <w:numId w:val="2"/>
        </w:numPr>
        <w:spacing w:before="30" w:after="30"/>
      </w:pPr>
      <w:r>
        <w:rPr>
          <w:rFonts w:ascii="Calibri" w:cs="Calibri" w:eastAsia="Calibri" w:hAnsi="Calibri"/>
          <w:color w:val="1C1C1C"/>
          <w:sz w:val="18"/>
          <w:szCs w:val="18"/>
        </w:rPr>
        <w:t xml:space="preserve">Offensive Security Certified Professional (OSCP) — Offensive Security, 2013 (Score: 97.5/100)</w:t>
      </w:r>
    </w:p>
    <w:p>
      <w:pPr>
        <w:pStyle w:val="ListParagraph"/>
        <w:numPr>
          <w:ilvl w:val="0"/>
          <w:numId w:val="2"/>
        </w:numPr>
        <w:spacing w:before="30" w:after="30"/>
      </w:pPr>
      <w:r>
        <w:rPr>
          <w:rFonts w:ascii="Calibri" w:cs="Calibri" w:eastAsia="Calibri" w:hAnsi="Calibri"/>
          <w:color w:val="1C1C1C"/>
          <w:sz w:val="18"/>
          <w:szCs w:val="18"/>
        </w:rPr>
        <w:t xml:space="preserve">GIAC Exploit Researcher and Advanced Penetration Tester (GXPN) — GIAC, 2017</w:t>
      </w:r>
    </w:p>
    <w:p>
      <w:pPr>
        <w:pStyle w:val="ListParagraph"/>
        <w:numPr>
          <w:ilvl w:val="0"/>
          <w:numId w:val="2"/>
        </w:numPr>
        <w:spacing w:before="30" w:after="30"/>
      </w:pPr>
      <w:r>
        <w:rPr>
          <w:rFonts w:ascii="Calibri" w:cs="Calibri" w:eastAsia="Calibri" w:hAnsi="Calibri"/>
          <w:color w:val="1C1C1C"/>
          <w:sz w:val="18"/>
          <w:szCs w:val="18"/>
        </w:rPr>
        <w:t xml:space="preserve">Offensive Security Experienced Penetration Tester (OSEP) — Offensive Security, 2021</w:t>
      </w:r>
    </w:p>
    <w:p>
      <w:pPr>
        <w:pStyle w:val="ListParagraph"/>
        <w:numPr>
          <w:ilvl w:val="0"/>
          <w:numId w:val="2"/>
        </w:numPr>
        <w:spacing w:before="30" w:after="30"/>
      </w:pPr>
      <w:r>
        <w:rPr>
          <w:rFonts w:ascii="Calibri" w:cs="Calibri" w:eastAsia="Calibri" w:hAnsi="Calibri"/>
          <w:color w:val="1C1C1C"/>
          <w:sz w:val="18"/>
          <w:szCs w:val="18"/>
        </w:rPr>
        <w:t xml:space="preserve">AWS Certified Security – Specialty (SCS-C02) — Amazon Web Services, 2022</w:t>
      </w:r>
    </w:p>
    <w:p>
      <w:pPr>
        <w:pStyle w:val="ListParagraph"/>
        <w:numPr>
          <w:ilvl w:val="0"/>
          <w:numId w:val="2"/>
        </w:numPr>
        <w:spacing w:before="30" w:after="30"/>
      </w:pPr>
      <w:r>
        <w:rPr>
          <w:rFonts w:ascii="Calibri" w:cs="Calibri" w:eastAsia="Calibri" w:hAnsi="Calibri"/>
          <w:color w:val="1C1C1C"/>
          <w:sz w:val="18"/>
          <w:szCs w:val="18"/>
        </w:rPr>
        <w:t xml:space="preserve">Certified Cloud Security Professional (CCSP) — ISC2, 2020</w:t>
      </w:r>
    </w:p>
    <w:p>
      <w:pPr>
        <w:pStyle w:val="ListParagraph"/>
        <w:numPr>
          <w:ilvl w:val="0"/>
          <w:numId w:val="2"/>
        </w:numPr>
        <w:spacing w:before="30" w:after="30"/>
      </w:pPr>
      <w:r>
        <w:rPr>
          <w:rFonts w:ascii="Calibri" w:cs="Calibri" w:eastAsia="Calibri" w:hAnsi="Calibri"/>
          <w:color w:val="1C1C1C"/>
          <w:sz w:val="18"/>
          <w:szCs w:val="18"/>
        </w:rPr>
        <w:t xml:space="preserve">Certified Ethical Hacker (CEH) Master — EC-Council, 2012</w:t>
      </w:r>
    </w:p>
    <w:p>
      <w:pPr>
        <w:pStyle w:val="ListParagraph"/>
        <w:numPr>
          <w:ilvl w:val="0"/>
          <w:numId w:val="2"/>
        </w:numPr>
        <w:spacing w:before="30" w:after="30"/>
      </w:pPr>
      <w:r>
        <w:rPr>
          <w:rFonts w:ascii="Calibri" w:cs="Calibri" w:eastAsia="Calibri" w:hAnsi="Calibri"/>
          <w:color w:val="1C1C1C"/>
          <w:sz w:val="18"/>
          <w:szCs w:val="18"/>
        </w:rPr>
        <w:t xml:space="preserve">GIAC Security Essentials (GSEC) — GIAC, 2010</w:t>
      </w:r>
    </w:p>
    <w:p>
      <w:pPr>
        <w:pBdr>
          <w:bottom w:val="single" w:color="1F4E79" w:sz="8" w:space="1"/>
        </w:pBdr>
        <w:spacing w:before="300" w:after="80"/>
      </w:pPr>
      <w:r>
        <w:rPr>
          <w:rFonts w:ascii="Calibri" w:cs="Calibri" w:eastAsia="Calibri" w:hAnsi="Calibri"/>
          <w:b/>
          <w:bCs/>
          <w:color w:val="1F4E79"/>
          <w:sz w:val="22"/>
          <w:szCs w:val="22"/>
        </w:rPr>
        <w:t xml:space="preserve">PUBLICATIONS, TALKS &amp; CONFERENCE PRESENTATIONS</w:t>
      </w:r>
    </w:p>
    <w:p>
      <w:pPr>
        <w:pStyle w:val="ListParagraph"/>
        <w:numPr>
          <w:ilvl w:val="0"/>
          <w:numId w:val="2"/>
        </w:numPr>
        <w:spacing w:before="30" w:after="30"/>
      </w:pPr>
      <w:r>
        <w:rPr>
          <w:rFonts w:ascii="Calibri" w:cs="Calibri" w:eastAsia="Calibri" w:hAnsi="Calibri"/>
          <w:color w:val="1C1C1C"/>
          <w:sz w:val="18"/>
          <w:szCs w:val="18"/>
        </w:rPr>
        <w:t xml:space="preserve">Petrov D. 'Volt Typhoon TTPs: Living-Off-the-Land Techniques in US Critical Infrastructure.' DEF CON 32, Las Vegas, 2024.</w:t>
      </w:r>
    </w:p>
    <w:p>
      <w:pPr>
        <w:pStyle w:val="ListParagraph"/>
        <w:numPr>
          <w:ilvl w:val="0"/>
          <w:numId w:val="2"/>
        </w:numPr>
        <w:spacing w:before="30" w:after="30"/>
      </w:pPr>
      <w:r>
        <w:rPr>
          <w:rFonts w:ascii="Calibri" w:cs="Calibri" w:eastAsia="Calibri" w:hAnsi="Calibri"/>
          <w:color w:val="1C1C1C"/>
          <w:sz w:val="18"/>
          <w:szCs w:val="18"/>
        </w:rPr>
        <w:t xml:space="preserve">Petrov D., Kim J. 'DNS-over-HTTPS C2: Detection Challenges and Blue Team Countermeasures.' Black Hat USA 2022 (Arsenal).</w:t>
      </w:r>
    </w:p>
    <w:p>
      <w:pPr>
        <w:pStyle w:val="ListParagraph"/>
        <w:numPr>
          <w:ilvl w:val="0"/>
          <w:numId w:val="2"/>
        </w:numPr>
        <w:spacing w:before="30" w:after="30"/>
      </w:pPr>
      <w:r>
        <w:rPr>
          <w:rFonts w:ascii="Calibri" w:cs="Calibri" w:eastAsia="Calibri" w:hAnsi="Calibri"/>
          <w:color w:val="1C1C1C"/>
          <w:sz w:val="18"/>
          <w:szCs w:val="18"/>
        </w:rPr>
        <w:t xml:space="preserve">Petrov D. 'Zero Trust Architecture Implementation for Federal Agencies: Lessons from DHS CISA.' RSA Conference 2023.</w:t>
      </w:r>
    </w:p>
    <w:p>
      <w:pPr>
        <w:pStyle w:val="ListParagraph"/>
        <w:numPr>
          <w:ilvl w:val="0"/>
          <w:numId w:val="2"/>
        </w:numPr>
        <w:spacing w:before="30" w:after="30"/>
      </w:pPr>
      <w:r>
        <w:rPr>
          <w:rFonts w:ascii="Calibri" w:cs="Calibri" w:eastAsia="Calibri" w:hAnsi="Calibri"/>
          <w:color w:val="1C1C1C"/>
          <w:sz w:val="18"/>
          <w:szCs w:val="18"/>
        </w:rPr>
        <w:t xml:space="preserve">Petrov D. 'Adversary Simulation Using MITRE ATT&amp;CK: A Red Team Operator's Field Manual.' Internal Mandiant Publication, adopted as training material by 420 Mandiant consultants.</w:t>
      </w:r>
    </w:p>
    <w:p>
      <w:pPr>
        <w:pBdr>
          <w:bottom w:val="single" w:color="1F4E79" w:sz="8" w:space="1"/>
        </w:pBdr>
        <w:spacing w:before="300" w:after="80"/>
      </w:pPr>
      <w:r>
        <w:rPr>
          <w:rFonts w:ascii="Calibri" w:cs="Calibri" w:eastAsia="Calibri" w:hAnsi="Calibri"/>
          <w:b/>
          <w:bCs/>
          <w:color w:val="1F4E79"/>
          <w:sz w:val="22"/>
          <w:szCs w:val="22"/>
        </w:rPr>
        <w:t xml:space="preserve">AWARDS &amp; RECOGNITION</w:t>
      </w:r>
    </w:p>
    <w:p>
      <w:pPr>
        <w:pStyle w:val="ListParagraph"/>
        <w:numPr>
          <w:ilvl w:val="0"/>
          <w:numId w:val="2"/>
        </w:numPr>
        <w:spacing w:before="30" w:after="30"/>
      </w:pPr>
      <w:r>
        <w:rPr>
          <w:rFonts w:ascii="Calibri" w:cs="Calibri" w:eastAsia="Calibri" w:hAnsi="Calibri"/>
          <w:color w:val="1C1C1C"/>
          <w:sz w:val="18"/>
          <w:szCs w:val="18"/>
        </w:rPr>
        <w:t xml:space="preserve">CISA Director's Award 2022 — for national cybersecurity training program impacting 14,400 federal employees</w:t>
      </w:r>
    </w:p>
    <w:p>
      <w:pPr>
        <w:pStyle w:val="ListParagraph"/>
        <w:numPr>
          <w:ilvl w:val="0"/>
          <w:numId w:val="2"/>
        </w:numPr>
        <w:spacing w:before="30" w:after="30"/>
      </w:pPr>
      <w:r>
        <w:rPr>
          <w:rFonts w:ascii="Calibri" w:cs="Calibri" w:eastAsia="Calibri" w:hAnsi="Calibri"/>
          <w:color w:val="1C1C1C"/>
          <w:sz w:val="18"/>
          <w:szCs w:val="18"/>
        </w:rPr>
        <w:t xml:space="preserve">Mandiant 'Consultant of the Year' 2016, 2017</w:t>
      </w:r>
    </w:p>
    <w:p>
      <w:pPr>
        <w:pStyle w:val="ListParagraph"/>
        <w:numPr>
          <w:ilvl w:val="0"/>
          <w:numId w:val="2"/>
        </w:numPr>
        <w:spacing w:before="30" w:after="30"/>
      </w:pPr>
      <w:r>
        <w:rPr>
          <w:rFonts w:ascii="Calibri" w:cs="Calibri" w:eastAsia="Calibri" w:hAnsi="Calibri"/>
          <w:color w:val="1C1C1C"/>
          <w:sz w:val="18"/>
          <w:szCs w:val="18"/>
        </w:rPr>
        <w:t xml:space="preserve">DEF CON 32 CFP Selection — 'Volt Typhoon TTPs' (&lt; 8% acceptance rate)</w:t>
      </w:r>
    </w:p>
    <w:p>
      <w:pPr>
        <w:pStyle w:val="ListParagraph"/>
        <w:numPr>
          <w:ilvl w:val="0"/>
          <w:numId w:val="2"/>
        </w:numPr>
        <w:spacing w:before="30" w:after="30"/>
      </w:pPr>
      <w:r>
        <w:rPr>
          <w:rFonts w:ascii="Calibri" w:cs="Calibri" w:eastAsia="Calibri" w:hAnsi="Calibri"/>
          <w:color w:val="1C1C1C"/>
          <w:sz w:val="18"/>
          <w:szCs w:val="18"/>
        </w:rPr>
        <w:t xml:space="preserve">CVE Hall of Fame — 38 CVEs discovered (Microsoft, VMware, Palo Alto, Fortinet)</w:t>
      </w:r>
    </w:p>
    <w:p>
      <w:pPr>
        <w:pStyle w:val="ListParagraph"/>
        <w:numPr>
          <w:ilvl w:val="0"/>
          <w:numId w:val="2"/>
        </w:numPr>
        <w:spacing w:before="30" w:after="30"/>
      </w:pPr>
      <w:r>
        <w:rPr>
          <w:rFonts w:ascii="Calibri" w:cs="Calibri" w:eastAsia="Calibri" w:hAnsi="Calibri"/>
          <w:color w:val="1C1C1C"/>
          <w:sz w:val="18"/>
          <w:szCs w:val="18"/>
        </w:rPr>
        <w:t xml:space="preserve">DISA 'Excellence in Service Award' 2012</w:t>
      </w:r>
    </w:p>
    <w:sectPr>
      <w:pgSz w:w="12240" w:h="15840" w:orient="portrait"/>
      <w:pgMar w:top="720" w:right="1000" w:bottom="72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abstractNum w:abstractNumId="3" w15:restartNumberingAfterBreak="0">
    <w:multiLevelType w:val="hybridMultilevel"/>
    <w:lvl w:ilvl="0" w15:tentative="1">
      <w:start w:val="1"/>
      <w:numFmt w:val="bullet"/>
      <w:lvlText w:val="○"/>
      <w:lvlJc w:val="left"/>
      <w:pPr>
        <w:ind w:left="8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2026-03-13T11:59:37.886Z</dcterms:created>
  <dcterms:modified xsi:type="dcterms:W3CDTF">2026-03-13T11:59:37.886Z</dcterms:modified>
</cp:coreProperties>
</file>

<file path=docProps/custom.xml><?xml version="1.0" encoding="utf-8"?>
<Properties xmlns="http://schemas.openxmlformats.org/officeDocument/2006/custom-properties" xmlns:vt="http://schemas.openxmlformats.org/officeDocument/2006/docPropsVTypes"/>
</file>