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pPr>
      <w:r>
        <w:rPr>
          <w:rFonts w:ascii="Calibri" w:cs="Calibri" w:eastAsia="Calibri" w:hAnsi="Calibri"/>
          <w:b/>
          <w:bCs/>
          <w:color w:val="1F4E79"/>
          <w:sz w:val="56"/>
          <w:szCs w:val="56"/>
        </w:rPr>
        <w:t xml:space="preserve">Carlos Eduardo Mendez-Reyes</w:t>
      </w:r>
    </w:p>
    <w:p>
      <w:pPr>
        <w:spacing w:before="0" w:after="40"/>
      </w:pPr>
      <w:r>
        <w:rPr>
          <w:rFonts w:ascii="Calibri" w:cs="Calibri" w:eastAsia="Calibri" w:hAnsi="Calibri"/>
          <w:b/>
          <w:bCs/>
          <w:i/>
          <w:iCs/>
          <w:color w:val="2E74B5"/>
          <w:sz w:val="26"/>
          <w:szCs w:val="26"/>
        </w:rPr>
        <w:t xml:space="preserve">Principal Solutions Architect &amp; Enterprise Integration Lead</w:t>
      </w:r>
    </w:p>
    <w:p>
      <w:pPr>
        <w:pBdr>
          <w:bottom w:val="single" w:color="1F4E79" w:sz="14" w:space="1"/>
        </w:pBdr>
        <w:spacing w:before="0" w:after="60"/>
      </w:pPr>
      <w:r>
        <w:rPr>
          <w:rFonts w:ascii="Calibri" w:cs="Calibri" w:eastAsia="Calibri" w:hAnsi="Calibri"/>
          <w:color w:val="374151"/>
          <w:sz w:val="17"/>
          <w:szCs w:val="17"/>
        </w:rPr>
        <w:t xml:space="preserve">carlos.mendezreyes@enterprise.arch   |   </w:t>
      </w:r>
      <w:r>
        <w:rPr>
          <w:rFonts w:ascii="Calibri" w:cs="Calibri" w:eastAsia="Calibri" w:hAnsi="Calibri"/>
          <w:color w:val="374151"/>
          <w:sz w:val="17"/>
          <w:szCs w:val="17"/>
        </w:rPr>
        <w:t xml:space="preserve">+1-972-488-0023   |   </w:t>
      </w:r>
      <w:r>
        <w:rPr>
          <w:rFonts w:ascii="Calibri" w:cs="Calibri" w:eastAsia="Calibri" w:hAnsi="Calibri"/>
          <w:color w:val="374151"/>
          <w:sz w:val="17"/>
          <w:szCs w:val="17"/>
        </w:rPr>
        <w:t xml:space="preserve">Dallas, TX 75201   |   </w:t>
      </w:r>
      <w:r>
        <w:rPr>
          <w:rFonts w:ascii="Calibri" w:cs="Calibri" w:eastAsia="Calibri" w:hAnsi="Calibri"/>
          <w:color w:val="374151"/>
          <w:sz w:val="17"/>
          <w:szCs w:val="17"/>
        </w:rPr>
        <w:t xml:space="preserve">linkedin.com/in/carlosmendezreyes   |   </w:t>
      </w:r>
      <w:r>
        <w:rPr>
          <w:rFonts w:ascii="Calibri" w:cs="Calibri" w:eastAsia="Calibri" w:hAnsi="Calibri"/>
          <w:color w:val="374151"/>
          <w:sz w:val="17"/>
          <w:szCs w:val="17"/>
        </w:rPr>
        <w:t xml:space="preserve">github.com/cemendez-arch   |   </w:t>
      </w:r>
      <w:r>
        <w:rPr>
          <w:rFonts w:ascii="Calibri" w:cs="Calibri" w:eastAsia="Calibri" w:hAnsi="Calibri"/>
          <w:color w:val="374151"/>
          <w:sz w:val="17"/>
          <w:szCs w:val="17"/>
        </w:rPr>
        <w:t xml:space="preserve">mendez-architecture.tech</w:t>
      </w:r>
    </w:p>
    <w:p>
      <w:pPr>
        <w:pBdr>
          <w:bottom w:val="single" w:color="1F4E79" w:sz="8" w:space="1"/>
        </w:pBdr>
        <w:spacing w:before="300" w:after="80"/>
      </w:pPr>
      <w:r>
        <w:rPr>
          <w:rFonts w:ascii="Calibri" w:cs="Calibri" w:eastAsia="Calibri" w:hAnsi="Calibri"/>
          <w:b/>
          <w:bCs/>
          <w:color w:val="1F4E79"/>
          <w:sz w:val="22"/>
          <w:szCs w:val="22"/>
        </w:rPr>
        <w:t xml:space="preserve">PROFESSIONAL SUMMARY</w:t>
      </w:r>
    </w:p>
    <w:p>
      <w:pPr>
        <w:spacing w:before="60" w:after="140"/>
      </w:pPr>
      <w:r>
        <w:rPr>
          <w:rFonts w:ascii="Calibri" w:cs="Calibri" w:eastAsia="Calibri" w:hAnsi="Calibri"/>
          <w:color w:val="1C1C1C"/>
          <w:sz w:val="19"/>
          <w:szCs w:val="19"/>
        </w:rPr>
        <w:t xml:space="preserve">Distinguished Principal Solutions Architect and Enterprise Integration Lead with 14 years of experience designing and delivering mission-critical integration platforms, API ecosystems, and digital transformation programs for healthcare, insurance, retail, and telecommunications enterprises. Technical authority on MuleSoft Anypoint Platform, Apache Camel 4.x, IBM Integration Bus, Kafka-based event streaming, and FHIR/HL7 healthcare data interoperability. Led architecture for $1.4B+ digital transformation programs at UnitedHealth Group Optum, Target Corporation, and AT&amp;T Business Services. Expert in API management, event-driven architecture, data integration governance, and enterprise iPaaS platforms. MuleSoft Certified Integration Architect (Level 2), AWS Solutions Architect Professional, TOGAF 9.2, and Salesforce Certified Application Architect. Speaker at MuleCon, Gartner Integration Summit, and HIMSS Annual Conference.</w:t>
      </w:r>
    </w:p>
    <w:p>
      <w:pPr>
        <w:pBdr>
          <w:bottom w:val="single" w:color="1F4E79" w:sz="8" w:space="1"/>
        </w:pBdr>
        <w:spacing w:before="300" w:after="80"/>
      </w:pPr>
      <w:r>
        <w:rPr>
          <w:rFonts w:ascii="Calibri" w:cs="Calibri" w:eastAsia="Calibri" w:hAnsi="Calibri"/>
          <w:b/>
          <w:bCs/>
          <w:color w:val="1F4E79"/>
          <w:sz w:val="22"/>
          <w:szCs w:val="22"/>
        </w:rPr>
        <w:t xml:space="preserve">CORE TECHNICAL COMPETENCIES</w:t>
      </w:r>
    </w:p>
    <w:p>
      <w:pPr>
        <w:spacing w:before="50" w:after="30"/>
      </w:pPr>
      <w:r>
        <w:rPr>
          <w:rFonts w:ascii="Calibri" w:cs="Calibri" w:eastAsia="Calibri" w:hAnsi="Calibri"/>
          <w:b/>
          <w:bCs/>
          <w:color w:val="1F4E79"/>
          <w:sz w:val="18"/>
          <w:szCs w:val="18"/>
        </w:rPr>
        <w:t xml:space="preserve">Integration Platforms:  </w:t>
      </w:r>
      <w:r>
        <w:rPr>
          <w:rFonts w:ascii="Calibri" w:cs="Calibri" w:eastAsia="Calibri" w:hAnsi="Calibri"/>
          <w:color w:val="374151"/>
          <w:sz w:val="17"/>
          <w:szCs w:val="17"/>
        </w:rPr>
        <w:t xml:space="preserve">MuleSoft Anypoint Platform 4.x (Mule 4.6, DataWeave 2.0, API Manager, Runtime Fabric, Anypoint MQ, Object Store v2)  •  Apache Camel 4.6 (Spring Boot, Quarkus, Camelk)  •  IBM App Connect Enterprise (ACE) 12.x / IBM MQ 9.3  •  Dell Boomi AtomSphere 24.x  •  Informatica IICS (Intelligent Cloud Services) 44.x  •  Talend Data Integration 8.x  •  Azure Integration Services (Logic Apps 2.x, Service Bus, Event Grid, API Management)  •  AWS EventBridge + Lambda + Step Functions  •  WSO2 API Manager 4.3  •  Gravitee.io API Platform 4.4</w:t>
      </w:r>
    </w:p>
    <w:p>
      <w:pPr>
        <w:spacing w:before="50" w:after="30"/>
      </w:pPr>
      <w:r>
        <w:rPr>
          <w:rFonts w:ascii="Calibri" w:cs="Calibri" w:eastAsia="Calibri" w:hAnsi="Calibri"/>
          <w:b/>
          <w:bCs/>
          <w:color w:val="1F4E79"/>
          <w:sz w:val="18"/>
          <w:szCs w:val="18"/>
        </w:rPr>
        <w:t xml:space="preserve">API Management &amp; Design:  </w:t>
      </w:r>
      <w:r>
        <w:rPr>
          <w:rFonts w:ascii="Calibri" w:cs="Calibri" w:eastAsia="Calibri" w:hAnsi="Calibri"/>
          <w:color w:val="374151"/>
          <w:sz w:val="17"/>
          <w:szCs w:val="17"/>
        </w:rPr>
        <w:t xml:space="preserve">MuleSoft API Manager 2.x  •  Kong Gateway 3.7  •  Apigee X (Google Cloud)  •  AWS API Gateway (REST + WebSocket + HTTP)  •  Azure API Management (APIM) 2.x  •  Tyk 5.x  •  OpenAPI 3.1 (Spectral linting)  •  AsyncAPI 2.6/3.0  •  GraphQL (Apollo Federation 2, Hasura 2.x)  •  JSON:API  •  SOAP/WSDL (MTOM)  •  OAuth 2.0 / OIDC / FAPI 1.0</w:t>
      </w:r>
    </w:p>
    <w:p>
      <w:pPr>
        <w:spacing w:before="50" w:after="30"/>
      </w:pPr>
      <w:r>
        <w:rPr>
          <w:rFonts w:ascii="Calibri" w:cs="Calibri" w:eastAsia="Calibri" w:hAnsi="Calibri"/>
          <w:b/>
          <w:bCs/>
          <w:color w:val="1F4E79"/>
          <w:sz w:val="18"/>
          <w:szCs w:val="18"/>
        </w:rPr>
        <w:t xml:space="preserve">Event Streaming &amp; Messaging:  </w:t>
      </w:r>
      <w:r>
        <w:rPr>
          <w:rFonts w:ascii="Calibri" w:cs="Calibri" w:eastAsia="Calibri" w:hAnsi="Calibri"/>
          <w:color w:val="374151"/>
          <w:sz w:val="17"/>
          <w:szCs w:val="17"/>
        </w:rPr>
        <w:t xml:space="preserve">Apache Kafka 3.7 (Confluent Platform 7.6, MSK)  •  Apache Kafka Connect (140+ connectors)  •  IBM MQ 9.3 (MQI, JMS, AMQP 1.0)  •  RabbitMQ 3.13 (AMQP 0-9-1)  •  AWS SQS/SNS/EventBridge  •  Azure Service Bus + Event Hubs (Kafka-compatible)  •  TIBCO EMS 10.x / TIBCO BusinessWorks 6.x  •  ActiveMQ Artemis 2.34  •  NATS JetStream 2.x</w:t>
      </w:r>
    </w:p>
    <w:p>
      <w:pPr>
        <w:spacing w:before="50" w:after="30"/>
      </w:pPr>
      <w:r>
        <w:rPr>
          <w:rFonts w:ascii="Calibri" w:cs="Calibri" w:eastAsia="Calibri" w:hAnsi="Calibri"/>
          <w:b/>
          <w:bCs/>
          <w:color w:val="1F4E79"/>
          <w:sz w:val="18"/>
          <w:szCs w:val="18"/>
        </w:rPr>
        <w:t xml:space="preserve">Healthcare &amp; HL7:  </w:t>
      </w:r>
      <w:r>
        <w:rPr>
          <w:rFonts w:ascii="Calibri" w:cs="Calibri" w:eastAsia="Calibri" w:hAnsi="Calibri"/>
          <w:color w:val="374151"/>
          <w:sz w:val="17"/>
          <w:szCs w:val="17"/>
        </w:rPr>
        <w:t xml:space="preserve">FHIR R4/R4B/R5 (RESTful API, Subscriptions, Bulk FHIR)  •  HL7 v2.x (ADT, ORU, SIU, ORM, MDM, DFT, BAR)  •  HL7 CDA/CCDA (C-CDA 2.1)  •  SMART on FHIR 2.0  •  Da Vinci (PDex, HRex, PAS) IGs  •  IHE Profiles (XDS.b, PIXm, PDQm, MHD)  •  X12 EDI (270/271, 276/277, 835, 837, 820, 278)  •  NCPDP SCRIPT 2017071  •  Direct Trust / XDR messaging  •  CMS Interoperability Rule (9115-F)</w:t>
      </w:r>
    </w:p>
    <w:p>
      <w:pPr>
        <w:spacing w:before="50" w:after="30"/>
      </w:pPr>
      <w:r>
        <w:rPr>
          <w:rFonts w:ascii="Calibri" w:cs="Calibri" w:eastAsia="Calibri" w:hAnsi="Calibri"/>
          <w:b/>
          <w:bCs/>
          <w:color w:val="1F4E79"/>
          <w:sz w:val="18"/>
          <w:szCs w:val="18"/>
        </w:rPr>
        <w:t xml:space="preserve">Enterprise Architecture Patterns:  </w:t>
      </w:r>
      <w:r>
        <w:rPr>
          <w:rFonts w:ascii="Calibri" w:cs="Calibri" w:eastAsia="Calibri" w:hAnsi="Calibri"/>
          <w:color w:val="374151"/>
          <w:sz w:val="17"/>
          <w:szCs w:val="17"/>
        </w:rPr>
        <w:t xml:space="preserve">SOA (Service-Oriented Architecture)  •  ESB (Enterprise Service Bus)  •  Event-Driven Architecture (EDA)  •  CQRS + Event Sourcing  •  Saga Pattern (Choreography + Orchestration)  •  Outbox Pattern  •  API-First Design  •  Domain-Driven Design (DDD)  •  Strangler Fig Pattern  •  API Mesh / API Gateway Architecture  •  iPaaS / HIP (Hybrid Integration Platform)  •  Data Fabric / Data Mesh</w:t>
      </w:r>
    </w:p>
    <w:p>
      <w:pPr>
        <w:spacing w:before="50" w:after="30"/>
      </w:pPr>
      <w:r>
        <w:rPr>
          <w:rFonts w:ascii="Calibri" w:cs="Calibri" w:eastAsia="Calibri" w:hAnsi="Calibri"/>
          <w:b/>
          <w:bCs/>
          <w:color w:val="1F4E79"/>
          <w:sz w:val="18"/>
          <w:szCs w:val="18"/>
        </w:rPr>
        <w:t xml:space="preserve">Programming Languages:  </w:t>
      </w:r>
      <w:r>
        <w:rPr>
          <w:rFonts w:ascii="Calibri" w:cs="Calibri" w:eastAsia="Calibri" w:hAnsi="Calibri"/>
          <w:color w:val="374151"/>
          <w:sz w:val="17"/>
          <w:szCs w:val="17"/>
        </w:rPr>
        <w:t xml:space="preserve">Java 21 (Spring Boot 3.2, Spring Integration 6.x, Apache Camel)  •  Python 3.12 (FastAPI, scripting)  •  DataWeave 2.0 (advanced transformations, modules)  •  XSLT 3.0 + XQuery 3.1  •  JavaScript/Node.js 22 (Express, Fastify)  •  SQL (Oracle 21c, PostgreSQL 16, SQL Server 2022)  •  Groovy 4.x  •  Bash/PowerShell</w:t>
      </w:r>
    </w:p>
    <w:p>
      <w:pPr>
        <w:spacing w:before="50" w:after="30"/>
      </w:pPr>
      <w:r>
        <w:rPr>
          <w:rFonts w:ascii="Calibri" w:cs="Calibri" w:eastAsia="Calibri" w:hAnsi="Calibri"/>
          <w:b/>
          <w:bCs/>
          <w:color w:val="1F4E79"/>
          <w:sz w:val="18"/>
          <w:szCs w:val="18"/>
        </w:rPr>
        <w:t xml:space="preserve">Cloud Platforms:  </w:t>
      </w:r>
      <w:r>
        <w:rPr>
          <w:rFonts w:ascii="Calibri" w:cs="Calibri" w:eastAsia="Calibri" w:hAnsi="Calibri"/>
          <w:color w:val="374151"/>
          <w:sz w:val="17"/>
          <w:szCs w:val="17"/>
        </w:rPr>
        <w:t xml:space="preserve">AWS (Lambda, Step Functions, EventBridge, API Gateway, SQS/SNS, MSK, EKS, RDS Aurora, ElastiCache, S3, Glue, Athena, DMS)  •  Azure (Logic Apps, APIM, Service Bus, Event Hub, Functions, AKS, Cosmos DB, ADF)  •  GCP (Cloud Run, Pub/Sub, Dataflow, Apigee X, BigQuery)  •  MuleSoft CloudHub 2.0 / Runtime Fabric on AKS/EKS</w:t>
      </w:r>
    </w:p>
    <w:p>
      <w:pPr>
        <w:spacing w:before="50" w:after="30"/>
      </w:pPr>
      <w:r>
        <w:rPr>
          <w:rFonts w:ascii="Calibri" w:cs="Calibri" w:eastAsia="Calibri" w:hAnsi="Calibri"/>
          <w:b/>
          <w:bCs/>
          <w:color w:val="1F4E79"/>
          <w:sz w:val="18"/>
          <w:szCs w:val="18"/>
        </w:rPr>
        <w:t xml:space="preserve">Data &amp; Master Data Management:  </w:t>
      </w:r>
      <w:r>
        <w:rPr>
          <w:rFonts w:ascii="Calibri" w:cs="Calibri" w:eastAsia="Calibri" w:hAnsi="Calibri"/>
          <w:color w:val="374151"/>
          <w:sz w:val="17"/>
          <w:szCs w:val="17"/>
        </w:rPr>
        <w:t xml:space="preserve">Informatica MDM (Master Data Management) 10.4  •  Reltio MDM 23.x (Cloud Native)  •  IBM InfoSphere MDM 11.6  •  Akeneo PIM 7.x  •  Oracle Customer Hub 11g  •  Stibo Systems STEP 9.x  •  IBM Sterling Connect:Direct 6.2 (SFTP, AS2)  •  OpenText Trading Grid (EDI)  •  SPS Commerce</w:t>
      </w:r>
    </w:p>
    <w:p>
      <w:pPr>
        <w:pBdr>
          <w:bottom w:val="single" w:color="1F4E79" w:sz="8" w:space="1"/>
        </w:pBdr>
        <w:spacing w:before="300" w:after="80"/>
      </w:pPr>
      <w:r>
        <w:rPr>
          <w:rFonts w:ascii="Calibri" w:cs="Calibri" w:eastAsia="Calibri" w:hAnsi="Calibri"/>
          <w:b/>
          <w:bCs/>
          <w:color w:val="1F4E79"/>
          <w:sz w:val="22"/>
          <w:szCs w:val="22"/>
        </w:rPr>
        <w:t xml:space="preserve">PROFESSIONAL EXPERIENCE</w:t>
      </w:r>
    </w:p>
    <w:p>
      <w:pPr>
        <w:spacing w:before="200" w:after="10"/>
      </w:pPr>
    </w:p>
    <w:p>
      <w:pPr>
        <w:spacing w:before="0" w:after="10"/>
      </w:pPr>
      <w:r>
        <w:rPr>
          <w:rFonts w:ascii="Calibri" w:cs="Calibri" w:eastAsia="Calibri" w:hAnsi="Calibri"/>
          <w:b/>
          <w:bCs/>
          <w:color w:val="1F4E79"/>
          <w:sz w:val="23"/>
          <w:szCs w:val="23"/>
        </w:rPr>
        <w:t xml:space="preserve">Principal Solutions Architect &amp; Integration Center of Excellence Lead</w:t>
      </w:r>
    </w:p>
    <w:p>
      <w:pPr>
        <w:spacing w:before="0" w:after="8"/>
      </w:pPr>
      <w:r>
        <w:rPr>
          <w:rFonts w:ascii="Calibri" w:cs="Calibri" w:eastAsia="Calibri" w:hAnsi="Calibri"/>
          <w:b/>
          <w:bCs/>
          <w:color w:val="2E74B5"/>
          <w:sz w:val="20"/>
          <w:szCs w:val="20"/>
        </w:rPr>
        <w:t xml:space="preserve">Deloitte Digital</w:t>
      </w:r>
      <w:r>
        <w:rPr>
          <w:rFonts w:ascii="Calibri" w:cs="Calibri" w:eastAsia="Calibri" w:hAnsi="Calibri"/>
          <w:i/>
          <w:iCs/>
          <w:color w:val="6B7280"/>
          <w:sz w:val="18"/>
          <w:szCs w:val="18"/>
        </w:rPr>
        <w:t xml:space="preserve">   |   Minneapolis, MN &amp; Dallas, TX</w:t>
      </w:r>
      <w:r>
        <w:rPr>
          <w:rFonts w:ascii="Calibri" w:cs="Calibri" w:eastAsia="Calibri" w:hAnsi="Calibri"/>
          <w:b/>
          <w:bCs/>
          <w:color w:val="1F4E79"/>
          <w:sz w:val="18"/>
          <w:szCs w:val="18"/>
        </w:rPr>
        <w:t xml:space="preserve">   |   Sep 2018 – Present</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UnitedHealth Group Optum — $840M Digital Transformation Program</w:t>
      </w:r>
    </w:p>
    <w:p>
      <w:pPr>
        <w:spacing w:before="0" w:after="14"/>
      </w:pPr>
      <w:r>
        <w:rPr>
          <w:rFonts w:ascii="Calibri" w:cs="Calibri" w:eastAsia="Calibri" w:hAnsi="Calibri"/>
          <w:i/>
          <w:iCs/>
          <w:color w:val="4B5563"/>
          <w:sz w:val="18"/>
          <w:szCs w:val="18"/>
        </w:rPr>
        <w:t xml:space="preserve">Principal architect and CoE lead for UnitedHealth Group Optum's enterprise integration platform transformation — largest MuleSoft Anypoint deployment in healthcare. Own technical architecture, CoE governance, and delivery oversight for 480 UHG integration developers across 14 product squads.</w:t>
      </w:r>
    </w:p>
    <w:p>
      <w:pPr>
        <w:pStyle w:val="ListParagraph"/>
        <w:numPr>
          <w:ilvl w:val="0"/>
          <w:numId w:val="2"/>
        </w:numPr>
        <w:spacing w:before="30" w:after="30"/>
      </w:pPr>
      <w:r>
        <w:rPr>
          <w:rFonts w:ascii="Calibri" w:cs="Calibri" w:eastAsia="Calibri" w:hAnsi="Calibri"/>
          <w:color w:val="1C1C1C"/>
          <w:sz w:val="18"/>
          <w:szCs w:val="18"/>
        </w:rPr>
        <w:t xml:space="preserve">Led architecture and implementation of UnitedHealth Group's enterprise integration platform on MuleSoft Anypoint Platform — connecting 840 source systems, 1,400 API endpoints, and processing 4.8M HL7 FHIR R4 transactions/day for 330M covered lives; platform enables CMS Interoperability Rule 9115-F compliance, Da Vinci PDex (Payer Data Exchange), and HRex prior authorization automation.</w:t>
      </w:r>
    </w:p>
    <w:p>
      <w:pPr>
        <w:pStyle w:val="ListParagraph"/>
        <w:numPr>
          <w:ilvl w:val="0"/>
          <w:numId w:val="2"/>
        </w:numPr>
        <w:spacing w:before="30" w:after="30"/>
      </w:pPr>
      <w:r>
        <w:rPr>
          <w:rFonts w:ascii="Calibri" w:cs="Calibri" w:eastAsia="Calibri" w:hAnsi="Calibri"/>
          <w:color w:val="1C1C1C"/>
          <w:sz w:val="18"/>
          <w:szCs w:val="18"/>
        </w:rPr>
        <w:t xml:space="preserve">Designed HIPAA-compliant API gateway with OAuth 2.0 + SMART on FHIR 2.0 (EHR launch, standalone launch, backend services auth flows), rate limiting (280M daily API calls, sliding window algorithm in Redis), mutual TLS using Entrust certificates, PHI data masking via custom MuleSoft DataWeave 2.0 tokenization policy integrating AWS Macie and Voltage SecureData.</w:t>
      </w:r>
    </w:p>
    <w:p>
      <w:pPr>
        <w:pStyle w:val="ListParagraph"/>
        <w:numPr>
          <w:ilvl w:val="0"/>
          <w:numId w:val="2"/>
        </w:numPr>
        <w:spacing w:before="30" w:after="30"/>
      </w:pPr>
      <w:r>
        <w:rPr>
          <w:rFonts w:ascii="Calibri" w:cs="Calibri" w:eastAsia="Calibri" w:hAnsi="Calibri"/>
          <w:color w:val="1C1C1C"/>
          <w:sz w:val="18"/>
          <w:szCs w:val="18"/>
        </w:rPr>
        <w:t xml:space="preserve">Architected real-time claims adjudication integration using Apache Kafka 3.7 (480-broker cluster, 3M messages/second) and IBM MQ 9.3 bridging UHG's legacy COBOL mainframe (IBM z16 Telum AI chip) with cloud-native microservices — claims routing decision latency reduced from 48 hours to 4.2 minutes; COBOL-to-REST bridge built with custom CICS Web Services + MuleSoft connector.</w:t>
      </w:r>
    </w:p>
    <w:p>
      <w:pPr>
        <w:pStyle w:val="ListParagraph"/>
        <w:numPr>
          <w:ilvl w:val="0"/>
          <w:numId w:val="2"/>
        </w:numPr>
        <w:spacing w:before="30" w:after="30"/>
      </w:pPr>
      <w:r>
        <w:rPr>
          <w:rFonts w:ascii="Calibri" w:cs="Calibri" w:eastAsia="Calibri" w:hAnsi="Calibri"/>
          <w:color w:val="1C1C1C"/>
          <w:sz w:val="18"/>
          <w:szCs w:val="18"/>
        </w:rPr>
        <w:t xml:space="preserve">Led migration of 340 legacy TIBCO BusinessWorks 5.x and IBM DataPower integrations to MuleSoft Mule 4.6 — designed DataWeave 2.0 transformation library of 840 reusable functions (FHIR-to-X12, X12-to-JSON, HL7v2-to-FHIR R4 conversion), Anypoint Exchange published APIs (480 REST APIs, 140 SOAP/WSDL), and MUnit 2.x automated test suites; reduced integration maintenance costs by $8.4M/year.</w:t>
      </w:r>
    </w:p>
    <w:p>
      <w:pPr>
        <w:pStyle w:val="ListParagraph"/>
        <w:numPr>
          <w:ilvl w:val="0"/>
          <w:numId w:val="2"/>
        </w:numPr>
        <w:spacing w:before="30" w:after="30"/>
      </w:pPr>
      <w:r>
        <w:rPr>
          <w:rFonts w:ascii="Calibri" w:cs="Calibri" w:eastAsia="Calibri" w:hAnsi="Calibri"/>
          <w:color w:val="1C1C1C"/>
          <w:sz w:val="18"/>
          <w:szCs w:val="18"/>
        </w:rPr>
        <w:t xml:space="preserve">Built UHG's Provider Data Management (PDM) integration hub — real-time sync of NPPES NPI Registry (8.4M providers), CMS PECOS (2.4M Medicare providers), CAQH ProView, and 28 state medical board APIs using Apache Camel 4.x on Spring Boot; serves accurate provider directory data for 2.4M healthcare providers supporting No Surprises Act price transparency compliance.</w:t>
      </w:r>
    </w:p>
    <w:p>
      <w:pPr>
        <w:pStyle w:val="ListParagraph"/>
        <w:numPr>
          <w:ilvl w:val="0"/>
          <w:numId w:val="2"/>
        </w:numPr>
        <w:spacing w:before="30" w:after="30"/>
      </w:pPr>
      <w:r>
        <w:rPr>
          <w:rFonts w:ascii="Calibri" w:cs="Calibri" w:eastAsia="Calibri" w:hAnsi="Calibri"/>
          <w:color w:val="1C1C1C"/>
          <w:sz w:val="18"/>
          <w:szCs w:val="18"/>
        </w:rPr>
        <w:t xml:space="preserve">Implemented FHIR R4 Subscription API using AWS EventBridge Pipes, Lambda (Java 21 + Spring Cloud Function), and DynamoDB Streams enabling real-time clinical decision support (CDS Hooks 2.0) notifications for 140 Epic (EpicCare) and Oracle Health (Cerner) EMR deployments — average CDS hook response latency: 48ms.</w:t>
      </w:r>
    </w:p>
    <w:p>
      <w:pPr>
        <w:pStyle w:val="ListParagraph"/>
        <w:numPr>
          <w:ilvl w:val="0"/>
          <w:numId w:val="2"/>
        </w:numPr>
        <w:spacing w:before="30" w:after="30"/>
      </w:pPr>
      <w:r>
        <w:rPr>
          <w:rFonts w:ascii="Calibri" w:cs="Calibri" w:eastAsia="Calibri" w:hAnsi="Calibri"/>
          <w:color w:val="1C1C1C"/>
          <w:sz w:val="18"/>
          <w:szCs w:val="18"/>
        </w:rPr>
        <w:t xml:space="preserve">Designed UHG's API monetization platform for Optum Intelligent EDI marketplace — 340 commercial API products (eligibility verification, claims status, drug formulary, provider directory, prior authorization); generated $28M incremental annual revenue from 840 trading partner integrations and health technology vendors.</w:t>
      </w:r>
    </w:p>
    <w:p>
      <w:pPr>
        <w:pStyle w:val="ListParagraph"/>
        <w:numPr>
          <w:ilvl w:val="0"/>
          <w:numId w:val="2"/>
        </w:numPr>
        <w:spacing w:before="30" w:after="30"/>
      </w:pPr>
      <w:r>
        <w:rPr>
          <w:rFonts w:ascii="Calibri" w:cs="Calibri" w:eastAsia="Calibri" w:hAnsi="Calibri"/>
          <w:color w:val="1C1C1C"/>
          <w:sz w:val="18"/>
          <w:szCs w:val="18"/>
        </w:rPr>
        <w:t xml:space="preserve">Established UHG's Integration Center of Excellence (CoE) — MuleSoft API Design Guidelines (RAML 1.0/OAS 3.1, naming conventions, versioning policy, error handling standards), reusable Anypoint Exchange templates (14 system APIs, 28 process APIs, 140 experience APIs per C4E three-tier API model), SDLC pipeline (GitHub Actions → MuleSoft CICD plugin → CloudHub 2.0), and API governance KPIs; adopted by 480 integration developers across 14 UHG product squads.</w:t>
      </w:r>
    </w:p>
    <w:p>
      <w:pPr>
        <w:pStyle w:val="ListParagraph"/>
        <w:numPr>
          <w:ilvl w:val="0"/>
          <w:numId w:val="2"/>
        </w:numPr>
        <w:spacing w:before="30" w:after="30"/>
      </w:pPr>
      <w:r>
        <w:rPr>
          <w:rFonts w:ascii="Calibri" w:cs="Calibri" w:eastAsia="Calibri" w:hAnsi="Calibri"/>
          <w:color w:val="1C1C1C"/>
          <w:sz w:val="18"/>
          <w:szCs w:val="18"/>
        </w:rPr>
        <w:t xml:space="preserve">Led NCQA HEDIS measure calculation integration — built data aggregation pipeline pulling clinical data from 840 contracted health systems via HL7 FHIR Bulk Data (Group export), X12 837 claims, and CCD document exchange; computed 98 HEDIS measures across 22M member lives for CMS Star Ratings submission.</w:t>
      </w:r>
    </w:p>
    <w:p>
      <w:pPr>
        <w:pStyle w:val="ListParagraph"/>
        <w:numPr>
          <w:ilvl w:val="0"/>
          <w:numId w:val="2"/>
        </w:numPr>
        <w:spacing w:before="30" w:after="30"/>
      </w:pPr>
      <w:r>
        <w:rPr>
          <w:rFonts w:ascii="Calibri" w:cs="Calibri" w:eastAsia="Calibri" w:hAnsi="Calibri"/>
          <w:color w:val="1C1C1C"/>
          <w:sz w:val="18"/>
          <w:szCs w:val="18"/>
        </w:rPr>
        <w:t xml:space="preserve">Delivered COVID-19 emergency integration work in 72 hours for UHG: built FEMA vaccine distribution API connecting CDC VAMS, McKesson inventory system, and state SIIS (immunization information systems) — processed 48,000 vaccine shipment records/day across 14 states during peak rollout; recognized by HHS Secretary for emergency response.</w:t>
      </w:r>
    </w:p>
    <w:p>
      <w:pPr>
        <w:pStyle w:val="ListParagraph"/>
        <w:numPr>
          <w:ilvl w:val="0"/>
          <w:numId w:val="2"/>
        </w:numPr>
        <w:spacing w:before="30" w:after="30"/>
      </w:pPr>
      <w:r>
        <w:rPr>
          <w:rFonts w:ascii="Calibri" w:cs="Calibri" w:eastAsia="Calibri" w:hAnsi="Calibri"/>
          <w:color w:val="1C1C1C"/>
          <w:sz w:val="18"/>
          <w:szCs w:val="18"/>
        </w:rPr>
        <w:t xml:space="preserve">Managed program delivery: $14M annual project budget, 28-person Deloitte delivery team, 3 MuleSoft Platinum Partner Engagement Managers, monthly steering committee reporting to UHG CTO and CDO; maintained 94 NPS score across 18-month engagement.</w:t>
      </w:r>
    </w:p>
    <w:p>
      <w:pPr>
        <w:spacing w:before="200" w:after="10"/>
      </w:pPr>
    </w:p>
    <w:p>
      <w:pPr>
        <w:spacing w:before="0" w:after="10"/>
      </w:pPr>
      <w:r>
        <w:rPr>
          <w:rFonts w:ascii="Calibri" w:cs="Calibri" w:eastAsia="Calibri" w:hAnsi="Calibri"/>
          <w:b/>
          <w:bCs/>
          <w:color w:val="1F4E79"/>
          <w:sz w:val="23"/>
          <w:szCs w:val="23"/>
        </w:rPr>
        <w:t xml:space="preserve">Senior Solutions Architect → Lead Architect</w:t>
      </w:r>
    </w:p>
    <w:p>
      <w:pPr>
        <w:spacing w:before="0" w:after="8"/>
      </w:pPr>
      <w:r>
        <w:rPr>
          <w:rFonts w:ascii="Calibri" w:cs="Calibri" w:eastAsia="Calibri" w:hAnsi="Calibri"/>
          <w:b/>
          <w:bCs/>
          <w:color w:val="2E74B5"/>
          <w:sz w:val="20"/>
          <w:szCs w:val="20"/>
        </w:rPr>
        <w:t xml:space="preserve">Target Corporation</w:t>
      </w:r>
      <w:r>
        <w:rPr>
          <w:rFonts w:ascii="Calibri" w:cs="Calibri" w:eastAsia="Calibri" w:hAnsi="Calibri"/>
          <w:i/>
          <w:iCs/>
          <w:color w:val="6B7280"/>
          <w:sz w:val="18"/>
          <w:szCs w:val="18"/>
        </w:rPr>
        <w:t xml:space="preserve">   |   Minneapolis, MN</w:t>
      </w:r>
      <w:r>
        <w:rPr>
          <w:rFonts w:ascii="Calibri" w:cs="Calibri" w:eastAsia="Calibri" w:hAnsi="Calibri"/>
          <w:b/>
          <w:bCs/>
          <w:color w:val="1F4E79"/>
          <w:sz w:val="18"/>
          <w:szCs w:val="18"/>
        </w:rPr>
        <w:t xml:space="preserve">   |   Jan 2014 – Aug 2018</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Target.com Omnichannel Commerce Platform &amp; Target Circle Loyalty</w:t>
      </w:r>
    </w:p>
    <w:p>
      <w:pPr>
        <w:spacing w:before="0" w:after="14"/>
      </w:pPr>
      <w:r>
        <w:rPr>
          <w:rFonts w:ascii="Calibri" w:cs="Calibri" w:eastAsia="Calibri" w:hAnsi="Calibri"/>
          <w:i/>
          <w:iCs/>
          <w:color w:val="4B5563"/>
          <w:sz w:val="18"/>
          <w:szCs w:val="18"/>
        </w:rPr>
        <w:t xml:space="preserve">Lead solutions architect for Target's omnichannel order management and real-time inventory integration. Owned integration platform architecture for Target's $8.4B e-commerce operations including Target.com, Target app, and 1,900 store POS systems.</w:t>
      </w:r>
    </w:p>
    <w:p>
      <w:pPr>
        <w:pStyle w:val="ListParagraph"/>
        <w:numPr>
          <w:ilvl w:val="0"/>
          <w:numId w:val="2"/>
        </w:numPr>
        <w:spacing w:before="30" w:after="30"/>
      </w:pPr>
      <w:r>
        <w:rPr>
          <w:rFonts w:ascii="Calibri" w:cs="Calibri" w:eastAsia="Calibri" w:hAnsi="Calibri"/>
          <w:color w:val="1C1C1C"/>
          <w:sz w:val="18"/>
          <w:szCs w:val="18"/>
        </w:rPr>
        <w:t xml:space="preserve">Architected Target's omnichannel order management integration platform using MuleSoft 3.x/4.x and Apache Camel 2.24 — connected 840 Target stores, 14 fulfillment centers, 3 ship-from-store hubs, and Target.com; processed 2.8M daily order events (order created, allocated, picked, shipped, delivered, returned) with exactly-once semantics using MuleSoft Anypoint MQ + idempotency keys.</w:t>
      </w:r>
    </w:p>
    <w:p>
      <w:pPr>
        <w:pStyle w:val="ListParagraph"/>
        <w:numPr>
          <w:ilvl w:val="0"/>
          <w:numId w:val="2"/>
        </w:numPr>
        <w:spacing w:before="30" w:after="30"/>
      </w:pPr>
      <w:r>
        <w:rPr>
          <w:rFonts w:ascii="Calibri" w:cs="Calibri" w:eastAsia="Calibri" w:hAnsi="Calibri"/>
          <w:color w:val="1C1C1C"/>
          <w:sz w:val="18"/>
          <w:szCs w:val="18"/>
        </w:rPr>
        <w:t xml:space="preserve">Led API-first transformation of Target's legacy ESB (IBM WebSphere Message Broker 8.x) — migrated 220 integration flows to event-driven microservices on MuleSoft Runtime Fabric (Kubernetes); enabled Target's same-day delivery 'Shipt' service for 1,400 store locations, processing 48,000 daily on-demand orders with &lt; 2-minute store notification latency.</w:t>
      </w:r>
    </w:p>
    <w:p>
      <w:pPr>
        <w:pStyle w:val="ListParagraph"/>
        <w:numPr>
          <w:ilvl w:val="0"/>
          <w:numId w:val="2"/>
        </w:numPr>
        <w:spacing w:before="30" w:after="30"/>
      </w:pPr>
      <w:r>
        <w:rPr>
          <w:rFonts w:ascii="Calibri" w:cs="Calibri" w:eastAsia="Calibri" w:hAnsi="Calibri"/>
          <w:color w:val="1C1C1C"/>
          <w:sz w:val="18"/>
          <w:szCs w:val="18"/>
        </w:rPr>
        <w:t xml:space="preserve">Built Target's vendor onboarding EDI platform using IBM Sterling B2B Integrator 6.1 and AS2/SFTP — processes 4.2M daily EDI transactions (EDI 810 Invoice, 850 PO, 856 ASN, 997 FA, 832 Price Catalog, 855 PO Ack) with 2,200 supplier trading partners including Procter &amp; Gamble, Unilever, and Nestlé; eliminated 84% of manual EDI exception handling.</w:t>
      </w:r>
    </w:p>
    <w:p>
      <w:pPr>
        <w:pStyle w:val="ListParagraph"/>
        <w:numPr>
          <w:ilvl w:val="0"/>
          <w:numId w:val="2"/>
        </w:numPr>
        <w:spacing w:before="30" w:after="30"/>
      </w:pPr>
      <w:r>
        <w:rPr>
          <w:rFonts w:ascii="Calibri" w:cs="Calibri" w:eastAsia="Calibri" w:hAnsi="Calibri"/>
          <w:color w:val="1C1C1C"/>
          <w:sz w:val="18"/>
          <w:szCs w:val="18"/>
        </w:rPr>
        <w:t xml:space="preserve">Designed real-time inventory integration platform using Apache Kafka 1.x (210-node cluster) and custom Avro schemas (Schema Registry v4.x) — synchronized perpetual inventory across 1,900 stores and 3 ecommerce fulfillment centers in &lt; 500ms; inventory accuracy improved from 94.2% to 99.7%; enabled Target's 'Drive Up' curbside pickup using real-time inventory reservation.</w:t>
      </w:r>
    </w:p>
    <w:p>
      <w:pPr>
        <w:pStyle w:val="ListParagraph"/>
        <w:numPr>
          <w:ilvl w:val="0"/>
          <w:numId w:val="2"/>
        </w:numPr>
        <w:spacing w:before="30" w:after="30"/>
      </w:pPr>
      <w:r>
        <w:rPr>
          <w:rFonts w:ascii="Calibri" w:cs="Calibri" w:eastAsia="Calibri" w:hAnsi="Calibri"/>
          <w:color w:val="1C1C1C"/>
          <w:sz w:val="18"/>
          <w:szCs w:val="18"/>
        </w:rPr>
        <w:t xml:space="preserve">Built Target's Product Information Management (PIM) integration hub connecting Informatica MDM 10.x, Akeneo PIM 4.x, and Target's custom item setup tool via REST APIs — managed master data for 32M active SKUs across 48 product categories; automated attribute enrichment pipeline using ML-based category classification (custom TF-IDF + random forest) reducing item setup time from 4 days to 3 hours.</w:t>
      </w:r>
    </w:p>
    <w:p>
      <w:pPr>
        <w:pStyle w:val="ListParagraph"/>
        <w:numPr>
          <w:ilvl w:val="0"/>
          <w:numId w:val="2"/>
        </w:numPr>
        <w:spacing w:before="30" w:after="30"/>
      </w:pPr>
      <w:r>
        <w:rPr>
          <w:rFonts w:ascii="Calibri" w:cs="Calibri" w:eastAsia="Calibri" w:hAnsi="Calibri"/>
          <w:color w:val="1C1C1C"/>
          <w:sz w:val="18"/>
          <w:szCs w:val="18"/>
        </w:rPr>
        <w:t xml:space="preserve">Designed Black Friday surge capacity integration architecture on AWS using Auto Scaling Groups (MuleSoft on EC2 r5.4xlarge), SQS FIFO queues with dead-letter processing, Lambda for peak overflow, and CloudWatch alarms for scale-out triggers — sustained 14x peak traffic (140M API requests/hour) during Black Friday 2017 with zero downtime and &lt; 400ms p99 API latency.</w:t>
      </w:r>
    </w:p>
    <w:p>
      <w:pPr>
        <w:pStyle w:val="ListParagraph"/>
        <w:numPr>
          <w:ilvl w:val="0"/>
          <w:numId w:val="2"/>
        </w:numPr>
        <w:spacing w:before="30" w:after="30"/>
      </w:pPr>
      <w:r>
        <w:rPr>
          <w:rFonts w:ascii="Calibri" w:cs="Calibri" w:eastAsia="Calibri" w:hAnsi="Calibri"/>
          <w:color w:val="1C1C1C"/>
          <w:sz w:val="18"/>
          <w:szCs w:val="18"/>
        </w:rPr>
        <w:t xml:space="preserve">Led Target's PCI-DSS Level 1 compliance integration re-architecture following 2013 breach — tokenized 2.4M Target REDcard payment tokens using Protegrity v5.x and Voltage SecureData FPE; implemented P2PE (point-to-point encryption) via Bluefin PCI-validated decryption zone; passed QSA assessment achieving PCI-DSS Level 1 certification.</w:t>
      </w:r>
    </w:p>
    <w:p>
      <w:pPr>
        <w:pStyle w:val="ListParagraph"/>
        <w:numPr>
          <w:ilvl w:val="0"/>
          <w:numId w:val="2"/>
        </w:numPr>
        <w:spacing w:before="30" w:after="30"/>
      </w:pPr>
      <w:r>
        <w:rPr>
          <w:rFonts w:ascii="Calibri" w:cs="Calibri" w:eastAsia="Calibri" w:hAnsi="Calibri"/>
          <w:color w:val="1C1C1C"/>
          <w:sz w:val="18"/>
          <w:szCs w:val="18"/>
        </w:rPr>
        <w:t xml:space="preserve">Managed delivery of Target's Target Circle loyalty program integration (48M members, 280M annual interactions) — built real-time offer redemption pipeline connecting POS (NCR RPOS), Salesforce Marketing Cloud, and Epsilon offer management platform via MuleSoft; loyalty redemption latency &lt; 280ms at peak (140,000 POS transactions/hour).</w:t>
      </w:r>
    </w:p>
    <w:p>
      <w:pPr>
        <w:pStyle w:val="ListParagraph"/>
        <w:numPr>
          <w:ilvl w:val="0"/>
          <w:numId w:val="2"/>
        </w:numPr>
        <w:spacing w:before="30" w:after="30"/>
      </w:pPr>
      <w:r>
        <w:rPr>
          <w:rFonts w:ascii="Calibri" w:cs="Calibri" w:eastAsia="Calibri" w:hAnsi="Calibri"/>
          <w:color w:val="1C1C1C"/>
          <w:sz w:val="18"/>
          <w:szCs w:val="18"/>
        </w:rPr>
        <w:t xml:space="preserve">Built Target's Supplier Portal API using MuleSoft Experience API, OAuth 2.0 (Okta IdP), and RESTful APIs — enabled 2,200 suppliers to self-service manage purchase orders, invoices, ASNs, and compliance documents; replaced legacy EDI VAN (IBM Sterling) workflows for 38% of supplier transactions; supplier satisfaction score improved from 67 to 91 NPS.</w:t>
      </w:r>
    </w:p>
    <w:p>
      <w:pPr>
        <w:spacing w:before="200" w:after="10"/>
      </w:pPr>
    </w:p>
    <w:p>
      <w:pPr>
        <w:spacing w:before="0" w:after="10"/>
      </w:pPr>
      <w:r>
        <w:rPr>
          <w:rFonts w:ascii="Calibri" w:cs="Calibri" w:eastAsia="Calibri" w:hAnsi="Calibri"/>
          <w:b/>
          <w:bCs/>
          <w:color w:val="1F4E79"/>
          <w:sz w:val="23"/>
          <w:szCs w:val="23"/>
        </w:rPr>
        <w:t xml:space="preserve">Integration Engineer → Senior Integration Engineer</w:t>
      </w:r>
    </w:p>
    <w:p>
      <w:pPr>
        <w:spacing w:before="0" w:after="8"/>
      </w:pPr>
      <w:r>
        <w:rPr>
          <w:rFonts w:ascii="Calibri" w:cs="Calibri" w:eastAsia="Calibri" w:hAnsi="Calibri"/>
          <w:b/>
          <w:bCs/>
          <w:color w:val="2E74B5"/>
          <w:sz w:val="20"/>
          <w:szCs w:val="20"/>
        </w:rPr>
        <w:t xml:space="preserve">AT&amp;T Inc. (via Accenture Technology Solutions)</w:t>
      </w:r>
      <w:r>
        <w:rPr>
          <w:rFonts w:ascii="Calibri" w:cs="Calibri" w:eastAsia="Calibri" w:hAnsi="Calibri"/>
          <w:i/>
          <w:iCs/>
          <w:color w:val="6B7280"/>
          <w:sz w:val="18"/>
          <w:szCs w:val="18"/>
        </w:rPr>
        <w:t xml:space="preserve">   |   Dallas, TX &amp; Atlanta, GA</w:t>
      </w:r>
      <w:r>
        <w:rPr>
          <w:rFonts w:ascii="Calibri" w:cs="Calibri" w:eastAsia="Calibri" w:hAnsi="Calibri"/>
          <w:b/>
          <w:bCs/>
          <w:color w:val="1F4E79"/>
          <w:sz w:val="18"/>
          <w:szCs w:val="18"/>
        </w:rPr>
        <w:t xml:space="preserve">   |   Jun 2010 – Dec 2013</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AT&amp;T Business Services OSS/BSS Transformation</w:t>
      </w:r>
    </w:p>
    <w:p>
      <w:pPr>
        <w:spacing w:before="0" w:after="14"/>
      </w:pPr>
      <w:r>
        <w:rPr>
          <w:rFonts w:ascii="Calibri" w:cs="Calibri" w:eastAsia="Calibri" w:hAnsi="Calibri"/>
          <w:i/>
          <w:iCs/>
          <w:color w:val="4B5563"/>
          <w:sz w:val="18"/>
          <w:szCs w:val="18"/>
        </w:rPr>
        <w:t xml:space="preserve">Integration engineer on Accenture's AT&amp;T Business Services OSS/BSS transformation engagement. Built B2B order management, network provisioning, and billing integration systems for AT&amp;T's Fortune 500 enterprise customers.</w:t>
      </w:r>
    </w:p>
    <w:p>
      <w:pPr>
        <w:pStyle w:val="ListParagraph"/>
        <w:numPr>
          <w:ilvl w:val="0"/>
          <w:numId w:val="2"/>
        </w:numPr>
        <w:spacing w:before="30" w:after="30"/>
      </w:pPr>
      <w:r>
        <w:rPr>
          <w:rFonts w:ascii="Calibri" w:cs="Calibri" w:eastAsia="Calibri" w:hAnsi="Calibri"/>
          <w:color w:val="1C1C1C"/>
          <w:sz w:val="18"/>
          <w:szCs w:val="18"/>
        </w:rPr>
        <w:t xml:space="preserve">Built AT&amp;T's B2B order management integration layer using IBM WebSphere Message Broker 8.x and IBM MQ 7.x — connected Siebel CRM 8.1 (order capture), Amdocs Clarify (billing), and Netcracker (network resource management) processing 480,000 daily B2B service orders for AT&amp;T's 24M business customers.</w:t>
      </w:r>
    </w:p>
    <w:p>
      <w:pPr>
        <w:pStyle w:val="ListParagraph"/>
        <w:numPr>
          <w:ilvl w:val="0"/>
          <w:numId w:val="2"/>
        </w:numPr>
        <w:spacing w:before="30" w:after="30"/>
      </w:pPr>
      <w:r>
        <w:rPr>
          <w:rFonts w:ascii="Calibri" w:cs="Calibri" w:eastAsia="Calibri" w:hAnsi="Calibri"/>
          <w:color w:val="1C1C1C"/>
          <w:sz w:val="18"/>
          <w:szCs w:val="18"/>
        </w:rPr>
        <w:t xml:space="preserve">Implemented SOA service layer for AT&amp;T's BSS transformation using JAX-WS SOAP web services, Oracle Service Bus 11g, and Oracle SOA Suite 11g — built 48 enterprise services for order provisioning, billing mediation, and customer master data management; reduced order provisioning time from 5 days to 4 hours for AT&amp;T Business Fiber orders.</w:t>
      </w:r>
    </w:p>
    <w:p>
      <w:pPr>
        <w:pStyle w:val="ListParagraph"/>
        <w:numPr>
          <w:ilvl w:val="0"/>
          <w:numId w:val="2"/>
        </w:numPr>
        <w:spacing w:before="30" w:after="30"/>
      </w:pPr>
      <w:r>
        <w:rPr>
          <w:rFonts w:ascii="Calibri" w:cs="Calibri" w:eastAsia="Calibri" w:hAnsi="Calibri"/>
          <w:color w:val="1C1C1C"/>
          <w:sz w:val="18"/>
          <w:szCs w:val="18"/>
        </w:rPr>
        <w:t xml:space="preserve">Developed ETL pipelines using Informatica PowerCenter 9.6 and IBM DataStage 11.7 migrating 840M customer records from legacy Lucent CME to Oracle Communications Billing and Revenue Management (BRM) 7.5 — executed over 18-month migration program with zero data loss; Oracle BRM handles $18B annual AT&amp;T Business Services billing.</w:t>
      </w:r>
    </w:p>
    <w:p>
      <w:pPr>
        <w:pStyle w:val="ListParagraph"/>
        <w:numPr>
          <w:ilvl w:val="0"/>
          <w:numId w:val="2"/>
        </w:numPr>
        <w:spacing w:before="30" w:after="30"/>
      </w:pPr>
      <w:r>
        <w:rPr>
          <w:rFonts w:ascii="Calibri" w:cs="Calibri" w:eastAsia="Calibri" w:hAnsi="Calibri"/>
          <w:color w:val="1C1C1C"/>
          <w:sz w:val="18"/>
          <w:szCs w:val="18"/>
        </w:rPr>
        <w:t xml:space="preserve">Built AT&amp;T's network inventory reconciliation system integrating 28 Network Element Management Systems (EMS) — Ericsson OSS-RC, Nokia NetAct, Ciena MCP, Cisco NSO, and Alcatel-Lucent 5620 SAM — using REST APIs and Apache Camel 2.14; reduced inventory discrepancy rate from 22% to 0.8% across 48,000 network elements.</w:t>
      </w:r>
    </w:p>
    <w:p>
      <w:pPr>
        <w:pStyle w:val="ListParagraph"/>
        <w:numPr>
          <w:ilvl w:val="0"/>
          <w:numId w:val="2"/>
        </w:numPr>
        <w:spacing w:before="30" w:after="30"/>
      </w:pPr>
      <w:r>
        <w:rPr>
          <w:rFonts w:ascii="Calibri" w:cs="Calibri" w:eastAsia="Calibri" w:hAnsi="Calibri"/>
          <w:color w:val="1C1C1C"/>
          <w:sz w:val="18"/>
          <w:szCs w:val="18"/>
        </w:rPr>
        <w:t xml:space="preserve">Implemented AT&amp;T's CPNI (Customer Proprietary Network Information) compliance integration — built audit trail API logging 1.4M daily CPNI data accesses across 840 AT&amp;T customer service systems; automated FCC-required CPNI breach reporting within 72 hours of detection.</w:t>
      </w:r>
    </w:p>
    <w:p>
      <w:pPr>
        <w:pStyle w:val="ListParagraph"/>
        <w:numPr>
          <w:ilvl w:val="0"/>
          <w:numId w:val="2"/>
        </w:numPr>
        <w:spacing w:before="30" w:after="30"/>
      </w:pPr>
      <w:r>
        <w:rPr>
          <w:rFonts w:ascii="Calibri" w:cs="Calibri" w:eastAsia="Calibri" w:hAnsi="Calibri"/>
          <w:color w:val="1C1C1C"/>
          <w:sz w:val="18"/>
          <w:szCs w:val="18"/>
        </w:rPr>
        <w:t xml:space="preserve">Led AT&amp;T Wholesale LNP (Local Number Portability) integration with NPAC (Number Portability Administration Center) using SWIM (SOA-based Wholesale Information Management) protocol — processed 28,000 daily porting transactions; compliance with FCC LNP rules (47 CFR Part 52).</w:t>
      </w:r>
    </w:p>
    <w:p>
      <w:pPr>
        <w:pStyle w:val="ListParagraph"/>
        <w:numPr>
          <w:ilvl w:val="0"/>
          <w:numId w:val="2"/>
        </w:numPr>
        <w:spacing w:before="30" w:after="30"/>
      </w:pPr>
      <w:r>
        <w:rPr>
          <w:rFonts w:ascii="Calibri" w:cs="Calibri" w:eastAsia="Calibri" w:hAnsi="Calibri"/>
          <w:color w:val="1C1C1C"/>
          <w:sz w:val="18"/>
          <w:szCs w:val="18"/>
        </w:rPr>
        <w:t xml:space="preserve">Received Accenture 'Top Performer' award (top 5%) 2012 and 2013; promoted from Analyst to Senior Analyst to Consultant within 3 years.</w:t>
      </w:r>
    </w:p>
    <w:p>
      <w:pPr>
        <w:pBdr>
          <w:bottom w:val="single" w:color="1F4E79" w:sz="8" w:space="1"/>
        </w:pBdr>
        <w:spacing w:before="300" w:after="80"/>
      </w:pPr>
      <w:r>
        <w:rPr>
          <w:rFonts w:ascii="Calibri" w:cs="Calibri" w:eastAsia="Calibri" w:hAnsi="Calibri"/>
          <w:b/>
          <w:bCs/>
          <w:color w:val="1F4E79"/>
          <w:sz w:val="22"/>
          <w:szCs w:val="22"/>
        </w:rPr>
        <w:t xml:space="preserve">OPEN SOURCE PROJECTS &amp; TECHNICAL CONTRIBUTIONS</w:t>
      </w:r>
    </w:p>
    <w:p>
      <w:pPr>
        <w:spacing w:before="80" w:after="20"/>
      </w:pPr>
      <w:r>
        <w:rPr>
          <w:rFonts w:ascii="Calibri" w:cs="Calibri" w:eastAsia="Calibri" w:hAnsi="Calibri"/>
          <w:b/>
          <w:bCs/>
          <w:color w:val="1F4E79"/>
          <w:sz w:val="19"/>
          <w:szCs w:val="19"/>
        </w:rPr>
        <w:t xml:space="preserve">MuleSoft Anypoint Exchange — Top Published Author: </w:t>
      </w:r>
      <w:r>
        <w:rPr>
          <w:rFonts w:ascii="Calibri" w:cs="Calibri" w:eastAsia="Calibri" w:hAnsi="Calibri"/>
          <w:sz w:val="18"/>
          <w:szCs w:val="18"/>
        </w:rPr>
        <w:t xml:space="preserve">Published 48 reusable MuleSoft assets on Anypoint Exchange: 14 FHIR R4 system API templates, 8 HL7v2-to-FHIR conversion DataWeave libraries, 6 X12 EDI accelerators — combined 28,000 downloads; featured in MuleSoft's 'Top Community Assets' 2023.</w:t>
      </w:r>
    </w:p>
    <w:p>
      <w:pPr>
        <w:spacing w:before="80" w:after="20"/>
      </w:pPr>
      <w:r>
        <w:rPr>
          <w:rFonts w:ascii="Calibri" w:cs="Calibri" w:eastAsia="Calibri" w:hAnsi="Calibri"/>
          <w:b/>
          <w:bCs/>
          <w:color w:val="1F4E79"/>
          <w:sz w:val="19"/>
          <w:szCs w:val="19"/>
        </w:rPr>
        <w:t xml:space="preserve">fhir-dataweave-library (OSS GitHub): </w:t>
      </w:r>
      <w:r>
        <w:rPr>
          <w:rFonts w:ascii="Calibri" w:cs="Calibri" w:eastAsia="Calibri" w:hAnsi="Calibri"/>
          <w:sz w:val="18"/>
          <w:szCs w:val="18"/>
        </w:rPr>
        <w:t xml:space="preserve">Open-source DataWeave 2.0 library for FHIR R4 transformations (HL7v2 ADT/ORU to FHIR, X12-to-FHIR, CCD to FHIR Patient/Condition/Medication) — 1,400 GitHub stars; used in 48 MuleSoft healthcare implementations.</w:t>
      </w:r>
    </w:p>
    <w:p>
      <w:pPr>
        <w:spacing w:before="80" w:after="20"/>
      </w:pPr>
      <w:r>
        <w:rPr>
          <w:rFonts w:ascii="Calibri" w:cs="Calibri" w:eastAsia="Calibri" w:hAnsi="Calibri"/>
          <w:b/>
          <w:bCs/>
          <w:color w:val="1F4E79"/>
          <w:sz w:val="19"/>
          <w:szCs w:val="19"/>
        </w:rPr>
        <w:t xml:space="preserve">kafka-mule-connector (OSS): </w:t>
      </w:r>
      <w:r>
        <w:rPr>
          <w:rFonts w:ascii="Calibri" w:cs="Calibri" w:eastAsia="Calibri" w:hAnsi="Calibri"/>
          <w:sz w:val="18"/>
          <w:szCs w:val="18"/>
        </w:rPr>
        <w:t xml:space="preserve">Enhanced Apache Kafka connector for MuleSoft Mule 4.x with Schema Registry integration, dead-letter queue routing, and Flink consumer group monitoring — 880 GitHub stars; contributes to MuleSoft's official Kafka connector.</w:t>
      </w:r>
    </w:p>
    <w:p>
      <w:pPr>
        <w:pBdr>
          <w:bottom w:val="single" w:color="1F4E79" w:sz="8" w:space="1"/>
        </w:pBdr>
        <w:spacing w:before="300" w:after="80"/>
      </w:pPr>
      <w:r>
        <w:rPr>
          <w:rFonts w:ascii="Calibri" w:cs="Calibri" w:eastAsia="Calibri" w:hAnsi="Calibri"/>
          <w:b/>
          <w:bCs/>
          <w:color w:val="1F4E79"/>
          <w:sz w:val="22"/>
          <w:szCs w:val="22"/>
        </w:rPr>
        <w:t xml:space="preserve">EDUCATION</w:t>
      </w:r>
    </w:p>
    <w:p>
      <w:pPr>
        <w:spacing w:before="80" w:after="10"/>
      </w:pPr>
      <w:r>
        <w:rPr>
          <w:rFonts w:ascii="Calibri" w:cs="Calibri" w:eastAsia="Calibri" w:hAnsi="Calibri"/>
          <w:b/>
          <w:bCs/>
          <w:color w:val="1F4E79"/>
          <w:sz w:val="20"/>
          <w:szCs w:val="20"/>
        </w:rPr>
        <w:t xml:space="preserve">M.S. Information Systems &amp; Technology Management</w:t>
      </w:r>
    </w:p>
    <w:p>
      <w:pPr>
        <w:spacing w:before="0" w:after="30"/>
      </w:pPr>
      <w:r>
        <w:rPr>
          <w:rFonts w:ascii="Calibri" w:cs="Calibri" w:eastAsia="Calibri" w:hAnsi="Calibri"/>
          <w:color w:val="374151"/>
          <w:sz w:val="19"/>
          <w:szCs w:val="19"/>
        </w:rPr>
        <w:t xml:space="preserve">The University of Texas at Dallas, Naveen Jindal School of Management</w:t>
      </w:r>
      <w:r>
        <w:rPr>
          <w:rFonts w:ascii="Calibri" w:cs="Calibri" w:eastAsia="Calibri" w:hAnsi="Calibri"/>
          <w:i/>
          <w:iCs/>
          <w:color w:val="6B7280"/>
          <w:sz w:val="18"/>
          <w:szCs w:val="18"/>
        </w:rPr>
        <w:t xml:space="preserve">   |   Graduated: 2010</w:t>
      </w:r>
    </w:p>
    <w:p>
      <w:pPr>
        <w:spacing w:before="0" w:after="50"/>
      </w:pPr>
      <w:r>
        <w:rPr>
          <w:rFonts w:ascii="Calibri" w:cs="Calibri" w:eastAsia="Calibri" w:hAnsi="Calibri"/>
          <w:i/>
          <w:iCs/>
          <w:color w:val="6B7280"/>
          <w:sz w:val="17"/>
          <w:szCs w:val="17"/>
        </w:rPr>
        <w:t xml:space="preserve">GPA: 3.87/4.0 | Dean's Excellence Scholar | Thesis: 'SOA Governance Frameworks for Enterprise Integration: A Comparative Analysis'</w:t>
      </w:r>
    </w:p>
    <w:p>
      <w:pPr>
        <w:spacing w:before="80" w:after="10"/>
      </w:pPr>
      <w:r>
        <w:rPr>
          <w:rFonts w:ascii="Calibri" w:cs="Calibri" w:eastAsia="Calibri" w:hAnsi="Calibri"/>
          <w:b/>
          <w:bCs/>
          <w:color w:val="1F4E79"/>
          <w:sz w:val="20"/>
          <w:szCs w:val="20"/>
        </w:rPr>
        <w:t xml:space="preserve">B.S. Computer Science (Minor: Business Administration)</w:t>
      </w:r>
    </w:p>
    <w:p>
      <w:pPr>
        <w:spacing w:before="0" w:after="30"/>
      </w:pPr>
      <w:r>
        <w:rPr>
          <w:rFonts w:ascii="Calibri" w:cs="Calibri" w:eastAsia="Calibri" w:hAnsi="Calibri"/>
          <w:color w:val="374151"/>
          <w:sz w:val="19"/>
          <w:szCs w:val="19"/>
        </w:rPr>
        <w:t xml:space="preserve">Universidad Tecnológica de México (UNITEC), Mexico City</w:t>
      </w:r>
      <w:r>
        <w:rPr>
          <w:rFonts w:ascii="Calibri" w:cs="Calibri" w:eastAsia="Calibri" w:hAnsi="Calibri"/>
          <w:i/>
          <w:iCs/>
          <w:color w:val="6B7280"/>
          <w:sz w:val="18"/>
          <w:szCs w:val="18"/>
        </w:rPr>
        <w:t xml:space="preserve">   |   Graduated: 2008</w:t>
      </w:r>
    </w:p>
    <w:p>
      <w:pPr>
        <w:spacing w:before="0" w:after="50"/>
      </w:pPr>
      <w:r>
        <w:rPr>
          <w:rFonts w:ascii="Calibri" w:cs="Calibri" w:eastAsia="Calibri" w:hAnsi="Calibri"/>
          <w:i/>
          <w:iCs/>
          <w:color w:val="6B7280"/>
          <w:sz w:val="17"/>
          <w:szCs w:val="17"/>
        </w:rPr>
        <w:t xml:space="preserve">GPA: 9.2/10.0 (Equivalent 3.8 US) | Summa Cum Laude | CENEVAL EGEL Computer Science Excellence</w:t>
      </w:r>
    </w:p>
    <w:p>
      <w:pPr>
        <w:pBdr>
          <w:bottom w:val="single" w:color="1F4E79" w:sz="8" w:space="1"/>
        </w:pBdr>
        <w:spacing w:before="300" w:after="80"/>
      </w:pPr>
      <w:r>
        <w:rPr>
          <w:rFonts w:ascii="Calibri" w:cs="Calibri" w:eastAsia="Calibri" w:hAnsi="Calibri"/>
          <w:b/>
          <w:bCs/>
          <w:color w:val="1F4E79"/>
          <w:sz w:val="22"/>
          <w:szCs w:val="22"/>
        </w:rPr>
        <w:t xml:space="preserve">PROFESSIONAL CERTIFICATIONS</w:t>
      </w:r>
    </w:p>
    <w:p>
      <w:pPr>
        <w:pStyle w:val="ListParagraph"/>
        <w:numPr>
          <w:ilvl w:val="0"/>
          <w:numId w:val="2"/>
        </w:numPr>
        <w:spacing w:before="30" w:after="30"/>
      </w:pPr>
      <w:r>
        <w:rPr>
          <w:rFonts w:ascii="Calibri" w:cs="Calibri" w:eastAsia="Calibri" w:hAnsi="Calibri"/>
          <w:color w:val="1C1C1C"/>
          <w:sz w:val="18"/>
          <w:szCs w:val="18"/>
        </w:rPr>
        <w:t xml:space="preserve">MuleSoft Certified Integration Architect – Level 2 (MCIA-Level-2) — MuleSoft / Salesforce, 2022</w:t>
      </w:r>
    </w:p>
    <w:p>
      <w:pPr>
        <w:pStyle w:val="ListParagraph"/>
        <w:numPr>
          <w:ilvl w:val="0"/>
          <w:numId w:val="2"/>
        </w:numPr>
        <w:spacing w:before="30" w:after="30"/>
      </w:pPr>
      <w:r>
        <w:rPr>
          <w:rFonts w:ascii="Calibri" w:cs="Calibri" w:eastAsia="Calibri" w:hAnsi="Calibri"/>
          <w:color w:val="1C1C1C"/>
          <w:sz w:val="18"/>
          <w:szCs w:val="18"/>
        </w:rPr>
        <w:t xml:space="preserve">AWS Certified Solutions Architect – Professional (SAP-C02) — Amazon Web Services, 2023 (Score: 891/1000)</w:t>
      </w:r>
    </w:p>
    <w:p>
      <w:pPr>
        <w:pStyle w:val="ListParagraph"/>
        <w:numPr>
          <w:ilvl w:val="0"/>
          <w:numId w:val="2"/>
        </w:numPr>
        <w:spacing w:before="30" w:after="30"/>
      </w:pPr>
      <w:r>
        <w:rPr>
          <w:rFonts w:ascii="Calibri" w:cs="Calibri" w:eastAsia="Calibri" w:hAnsi="Calibri"/>
          <w:color w:val="1C1C1C"/>
          <w:sz w:val="18"/>
          <w:szCs w:val="18"/>
        </w:rPr>
        <w:t xml:space="preserve">MuleSoft Certified Developer – Level 1 (MCD-Level-1, Mule 4) — MuleSoft / Salesforce, 2020</w:t>
      </w:r>
    </w:p>
    <w:p>
      <w:pPr>
        <w:pStyle w:val="ListParagraph"/>
        <w:numPr>
          <w:ilvl w:val="0"/>
          <w:numId w:val="2"/>
        </w:numPr>
        <w:spacing w:before="30" w:after="30"/>
      </w:pPr>
      <w:r>
        <w:rPr>
          <w:rFonts w:ascii="Calibri" w:cs="Calibri" w:eastAsia="Calibri" w:hAnsi="Calibri"/>
          <w:color w:val="1C1C1C"/>
          <w:sz w:val="18"/>
          <w:szCs w:val="18"/>
        </w:rPr>
        <w:t xml:space="preserve">TOGAF 9.2 Certified Enterprise Architect — The Open Group, 2019</w:t>
      </w:r>
    </w:p>
    <w:p>
      <w:pPr>
        <w:pStyle w:val="ListParagraph"/>
        <w:numPr>
          <w:ilvl w:val="0"/>
          <w:numId w:val="2"/>
        </w:numPr>
        <w:spacing w:before="30" w:after="30"/>
      </w:pPr>
      <w:r>
        <w:rPr>
          <w:rFonts w:ascii="Calibri" w:cs="Calibri" w:eastAsia="Calibri" w:hAnsi="Calibri"/>
          <w:color w:val="1C1C1C"/>
          <w:sz w:val="18"/>
          <w:szCs w:val="18"/>
        </w:rPr>
        <w:t xml:space="preserve">Salesforce Certified Application Architect — Salesforce, 2021</w:t>
      </w:r>
    </w:p>
    <w:p>
      <w:pPr>
        <w:pStyle w:val="ListParagraph"/>
        <w:numPr>
          <w:ilvl w:val="0"/>
          <w:numId w:val="2"/>
        </w:numPr>
        <w:spacing w:before="30" w:after="30"/>
      </w:pPr>
      <w:r>
        <w:rPr>
          <w:rFonts w:ascii="Calibri" w:cs="Calibri" w:eastAsia="Calibri" w:hAnsi="Calibri"/>
          <w:color w:val="1C1C1C"/>
          <w:sz w:val="18"/>
          <w:szCs w:val="18"/>
        </w:rPr>
        <w:t xml:space="preserve">IBM Certified Solution Designer – MQ V9.1 — IBM, 2018</w:t>
      </w:r>
    </w:p>
    <w:p>
      <w:pPr>
        <w:pStyle w:val="ListParagraph"/>
        <w:numPr>
          <w:ilvl w:val="0"/>
          <w:numId w:val="2"/>
        </w:numPr>
        <w:spacing w:before="30" w:after="30"/>
      </w:pPr>
      <w:r>
        <w:rPr>
          <w:rFonts w:ascii="Calibri" w:cs="Calibri" w:eastAsia="Calibri" w:hAnsi="Calibri"/>
          <w:color w:val="1C1C1C"/>
          <w:sz w:val="18"/>
          <w:szCs w:val="18"/>
        </w:rPr>
        <w:t xml:space="preserve">Confluent Certified Developer for Apache Kafka (CCDAK) — Confluent, 2022</w:t>
      </w:r>
    </w:p>
    <w:p>
      <w:pPr>
        <w:pStyle w:val="ListParagraph"/>
        <w:numPr>
          <w:ilvl w:val="0"/>
          <w:numId w:val="2"/>
        </w:numPr>
        <w:spacing w:before="30" w:after="30"/>
      </w:pPr>
      <w:r>
        <w:rPr>
          <w:rFonts w:ascii="Calibri" w:cs="Calibri" w:eastAsia="Calibri" w:hAnsi="Calibri"/>
          <w:color w:val="1C1C1C"/>
          <w:sz w:val="18"/>
          <w:szCs w:val="18"/>
        </w:rPr>
        <w:t xml:space="preserve">Azure Integration Services Specialty — Microsoft, 2023</w:t>
      </w:r>
    </w:p>
    <w:p>
      <w:pPr>
        <w:pStyle w:val="ListParagraph"/>
        <w:numPr>
          <w:ilvl w:val="0"/>
          <w:numId w:val="2"/>
        </w:numPr>
        <w:spacing w:before="30" w:after="30"/>
      </w:pPr>
      <w:r>
        <w:rPr>
          <w:rFonts w:ascii="Calibri" w:cs="Calibri" w:eastAsia="Calibri" w:hAnsi="Calibri"/>
          <w:color w:val="1C1C1C"/>
          <w:sz w:val="18"/>
          <w:szCs w:val="18"/>
        </w:rPr>
        <w:t xml:space="preserve">HL7 FHIR Fundamentals Certificate — HL7 International, 2020</w:t>
      </w:r>
    </w:p>
    <w:p>
      <w:pPr>
        <w:pBdr>
          <w:bottom w:val="single" w:color="1F4E79" w:sz="8" w:space="1"/>
        </w:pBdr>
        <w:spacing w:before="300" w:after="80"/>
      </w:pPr>
      <w:r>
        <w:rPr>
          <w:rFonts w:ascii="Calibri" w:cs="Calibri" w:eastAsia="Calibri" w:hAnsi="Calibri"/>
          <w:b/>
          <w:bCs/>
          <w:color w:val="1F4E79"/>
          <w:sz w:val="22"/>
          <w:szCs w:val="22"/>
        </w:rPr>
        <w:t xml:space="preserve">PUBLICATIONS, TALKS &amp; CONFERENCE PRESENTATIONS</w:t>
      </w:r>
    </w:p>
    <w:p>
      <w:pPr>
        <w:pStyle w:val="ListParagraph"/>
        <w:numPr>
          <w:ilvl w:val="0"/>
          <w:numId w:val="2"/>
        </w:numPr>
        <w:spacing w:before="30" w:after="30"/>
      </w:pPr>
      <w:r>
        <w:rPr>
          <w:rFonts w:ascii="Calibri" w:cs="Calibri" w:eastAsia="Calibri" w:hAnsi="Calibri"/>
          <w:color w:val="1C1C1C"/>
          <w:sz w:val="18"/>
          <w:szCs w:val="18"/>
        </w:rPr>
        <w:t xml:space="preserve">Mendez-Reyes C. 'Three-Tier API Architecture with MuleSoft at Healthcare Hyperscale: 840 Systems, 330M Patients.' MuleCon 2023 (Main Stage, 4,200 attendees).</w:t>
      </w:r>
    </w:p>
    <w:p>
      <w:pPr>
        <w:pStyle w:val="ListParagraph"/>
        <w:numPr>
          <w:ilvl w:val="0"/>
          <w:numId w:val="2"/>
        </w:numPr>
        <w:spacing w:before="30" w:after="30"/>
      </w:pPr>
      <w:r>
        <w:rPr>
          <w:rFonts w:ascii="Calibri" w:cs="Calibri" w:eastAsia="Calibri" w:hAnsi="Calibri"/>
          <w:color w:val="1C1C1C"/>
          <w:sz w:val="18"/>
          <w:szCs w:val="18"/>
        </w:rPr>
        <w:t xml:space="preserve">Mendez-Reyes C., Singh A. 'FHIR Subscription APIs for Real-Time EHR Integration: Da Vinci Implementation Experience.' HIMSS Annual Conference 2023.</w:t>
      </w:r>
    </w:p>
    <w:p>
      <w:pPr>
        <w:pStyle w:val="ListParagraph"/>
        <w:numPr>
          <w:ilvl w:val="0"/>
          <w:numId w:val="2"/>
        </w:numPr>
        <w:spacing w:before="30" w:after="30"/>
      </w:pPr>
      <w:r>
        <w:rPr>
          <w:rFonts w:ascii="Calibri" w:cs="Calibri" w:eastAsia="Calibri" w:hAnsi="Calibri"/>
          <w:color w:val="1C1C1C"/>
          <w:sz w:val="18"/>
          <w:szCs w:val="18"/>
        </w:rPr>
        <w:t xml:space="preserve">Mendez-Reyes C. 'Event-Driven Architecture vs. ESB: When to Use Apache Kafka vs. MuleSoft for Enterprise Integration.' Gartner Integration Summit 2022.</w:t>
      </w:r>
    </w:p>
    <w:p>
      <w:pPr>
        <w:pStyle w:val="ListParagraph"/>
        <w:numPr>
          <w:ilvl w:val="0"/>
          <w:numId w:val="2"/>
        </w:numPr>
        <w:spacing w:before="30" w:after="30"/>
      </w:pPr>
      <w:r>
        <w:rPr>
          <w:rFonts w:ascii="Calibri" w:cs="Calibri" w:eastAsia="Calibri" w:hAnsi="Calibri"/>
          <w:color w:val="1C1C1C"/>
          <w:sz w:val="18"/>
          <w:szCs w:val="18"/>
        </w:rPr>
        <w:t xml:space="preserve">Mendez-Reyes C. 'DataWeave 2.0 Advanced Patterns: HL7v2-to-FHIR R4 Transformation at Production Scale.' MuleSoft Integration Handbook, O'Reilly, 2023.</w:t>
      </w:r>
    </w:p>
    <w:p>
      <w:pPr>
        <w:pBdr>
          <w:bottom w:val="single" w:color="1F4E79" w:sz="8" w:space="1"/>
        </w:pBdr>
        <w:spacing w:before="300" w:after="80"/>
      </w:pPr>
      <w:r>
        <w:rPr>
          <w:rFonts w:ascii="Calibri" w:cs="Calibri" w:eastAsia="Calibri" w:hAnsi="Calibri"/>
          <w:b/>
          <w:bCs/>
          <w:color w:val="1F4E79"/>
          <w:sz w:val="22"/>
          <w:szCs w:val="22"/>
        </w:rPr>
        <w:t xml:space="preserve">AWARDS &amp; RECOGNITION</w:t>
      </w:r>
    </w:p>
    <w:p>
      <w:pPr>
        <w:pStyle w:val="ListParagraph"/>
        <w:numPr>
          <w:ilvl w:val="0"/>
          <w:numId w:val="2"/>
        </w:numPr>
        <w:spacing w:before="30" w:after="30"/>
      </w:pPr>
      <w:r>
        <w:rPr>
          <w:rFonts w:ascii="Calibri" w:cs="Calibri" w:eastAsia="Calibri" w:hAnsi="Calibri"/>
          <w:color w:val="1C1C1C"/>
          <w:sz w:val="18"/>
          <w:szCs w:val="18"/>
        </w:rPr>
        <w:t xml:space="preserve">Deloitte 'Exceptional Performer Award' 2022, 2023 — top 3% of 330,000 Deloitte staff</w:t>
      </w:r>
    </w:p>
    <w:p>
      <w:pPr>
        <w:pStyle w:val="ListParagraph"/>
        <w:numPr>
          <w:ilvl w:val="0"/>
          <w:numId w:val="2"/>
        </w:numPr>
        <w:spacing w:before="30" w:after="30"/>
      </w:pPr>
      <w:r>
        <w:rPr>
          <w:rFonts w:ascii="Calibri" w:cs="Calibri" w:eastAsia="Calibri" w:hAnsi="Calibri"/>
          <w:color w:val="1C1C1C"/>
          <w:sz w:val="18"/>
          <w:szCs w:val="18"/>
        </w:rPr>
        <w:t xml:space="preserve">MuleSoft 'Top Community Author' 2023 — 28,000 Anypoint Exchange asset downloads</w:t>
      </w:r>
    </w:p>
    <w:p>
      <w:pPr>
        <w:pStyle w:val="ListParagraph"/>
        <w:numPr>
          <w:ilvl w:val="0"/>
          <w:numId w:val="2"/>
        </w:numPr>
        <w:spacing w:before="30" w:after="30"/>
      </w:pPr>
      <w:r>
        <w:rPr>
          <w:rFonts w:ascii="Calibri" w:cs="Calibri" w:eastAsia="Calibri" w:hAnsi="Calibri"/>
          <w:color w:val="1C1C1C"/>
          <w:sz w:val="18"/>
          <w:szCs w:val="18"/>
        </w:rPr>
        <w:t xml:space="preserve">HIMSS 2023 'Most Innovative Session' — FHIR Subscription APIs talk</w:t>
      </w:r>
    </w:p>
    <w:p>
      <w:pPr>
        <w:pStyle w:val="ListParagraph"/>
        <w:numPr>
          <w:ilvl w:val="0"/>
          <w:numId w:val="2"/>
        </w:numPr>
        <w:spacing w:before="30" w:after="30"/>
      </w:pPr>
      <w:r>
        <w:rPr>
          <w:rFonts w:ascii="Calibri" w:cs="Calibri" w:eastAsia="Calibri" w:hAnsi="Calibri"/>
          <w:color w:val="1C1C1C"/>
          <w:sz w:val="18"/>
          <w:szCs w:val="18"/>
        </w:rPr>
        <w:t xml:space="preserve">AT&amp;T / Accenture 'Top Performer' 2012, 2013</w:t>
      </w:r>
    </w:p>
    <w:p>
      <w:pPr>
        <w:pStyle w:val="ListParagraph"/>
        <w:numPr>
          <w:ilvl w:val="0"/>
          <w:numId w:val="2"/>
        </w:numPr>
        <w:spacing w:before="30" w:after="30"/>
      </w:pPr>
      <w:r>
        <w:rPr>
          <w:rFonts w:ascii="Calibri" w:cs="Calibri" w:eastAsia="Calibri" w:hAnsi="Calibri"/>
          <w:color w:val="1C1C1C"/>
          <w:sz w:val="18"/>
          <w:szCs w:val="18"/>
        </w:rPr>
        <w:t xml:space="preserve">HHS Secretary Recognition — COVID-19 vaccine distribution emergency integration</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2026-03-13T11:59:38.019Z</dcterms:created>
  <dcterms:modified xsi:type="dcterms:W3CDTF">2026-03-13T11:59:38.019Z</dcterms:modified>
</cp:coreProperties>
</file>

<file path=docProps/custom.xml><?xml version="1.0" encoding="utf-8"?>
<Properties xmlns="http://schemas.openxmlformats.org/officeDocument/2006/custom-properties" xmlns:vt="http://schemas.openxmlformats.org/officeDocument/2006/docPropsVTypes"/>
</file>