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color="FFFFFF" w:sz="0"/>
              <w:left w:val="none" w:color="FFFFFF" w:sz="0"/>
              <w:bottom w:val="none" w:color="FFFFFF" w:sz="0"/>
              <w:right w:val="none" w:color="FFFFFF" w:sz="0"/>
            </w:tcBorders>
            <w:shd w:fill="1E3A5F" w:val="clear"/>
            <w:tcMar>
              <w:top w:type="dxa" w:w="200"/>
              <w:left w:type="dxa" w:w="200"/>
              <w:bottom w:type="dxa" w:w="200"/>
              <w:right w:type="dxa" w:w="200"/>
            </w:tcMar>
          </w:tcPr>
          <w:p>
            <w:pPr>
              <w:spacing w:after="30"/>
              <w:jc w:val="center"/>
            </w:pPr>
            <w:r>
              <w:rPr>
                <w:rFonts w:ascii="Arial" w:cs="Arial" w:eastAsia="Arial" w:hAnsi="Arial"/>
                <w:b/>
                <w:bCs/>
                <w:color w:val="FFFFFF"/>
                <w:sz w:val="28"/>
                <w:szCs w:val="28"/>
              </w:rPr>
              <w:t xml:space="preserve">PRIYA KRISHNAMURTHY</w:t>
            </w:r>
          </w:p>
          <w:p>
            <w:pPr>
              <w:spacing w:after="20"/>
              <w:jc w:val="center"/>
            </w:pPr>
            <w:r>
              <w:rPr>
                <w:rFonts w:ascii="Arial" w:cs="Arial" w:eastAsia="Arial" w:hAnsi="Arial"/>
                <w:i/>
                <w:iCs/>
                <w:color w:val="ADD8E6"/>
                <w:sz w:val="17"/>
                <w:szCs w:val="17"/>
              </w:rPr>
              <w:t xml:space="preserve">Senior Cloud Data Architect / Big Data Specialist</w:t>
            </w:r>
          </w:p>
          <w:p>
            <w:pPr>
              <w:spacing w:before="160" w:after="40"/>
            </w:pPr>
            <w:r>
              <w:rPr>
                <w:rFonts w:ascii="Arial" w:cs="Arial" w:eastAsia="Arial" w:hAnsi="Arial"/>
                <w:b/>
                <w:bCs/>
                <w:color w:val="FFD700"/>
                <w:sz w:val="18"/>
                <w:szCs w:val="18"/>
              </w:rPr>
              <w:t xml:space="preserve">CONTACT</w:t>
            </w:r>
          </w:p>
          <w:p>
            <w:pPr>
              <w:spacing w:after="40"/>
            </w:pPr>
            <w:r>
              <w:rPr>
                <w:rFonts w:ascii="Arial" w:cs="Arial" w:eastAsia="Arial" w:hAnsi="Arial"/>
                <w:color w:val="CCDDEE"/>
                <w:sz w:val="16"/>
                <w:szCs w:val="16"/>
              </w:rPr>
              <w:t xml:space="preserve">+1 (206) 445-8821</w:t>
            </w:r>
          </w:p>
          <w:p>
            <w:pPr>
              <w:spacing w:after="40"/>
            </w:pPr>
            <w:r>
              <w:rPr>
                <w:rFonts w:ascii="Arial" w:cs="Arial" w:eastAsia="Arial" w:hAnsi="Arial"/>
                <w:color w:val="CCDDEE"/>
                <w:sz w:val="16"/>
                <w:szCs w:val="16"/>
              </w:rPr>
              <w:t xml:space="preserve">priya.krish.data@cloudmesh.net</w:t>
            </w:r>
          </w:p>
          <w:p>
            <w:pPr>
              <w:spacing w:after="40"/>
            </w:pPr>
            <w:r>
              <w:rPr>
                <w:rFonts w:ascii="Arial" w:cs="Arial" w:eastAsia="Arial" w:hAnsi="Arial"/>
                <w:color w:val="CCDDEE"/>
                <w:sz w:val="16"/>
                <w:szCs w:val="16"/>
              </w:rPr>
              <w:t xml:space="preserve">linkedin.com/in/priya-krishnamurthy-data</w:t>
            </w:r>
          </w:p>
          <w:p>
            <w:pPr>
              <w:spacing w:after="40"/>
            </w:pPr>
            <w:r>
              <w:rPr>
                <w:rFonts w:ascii="Arial" w:cs="Arial" w:eastAsia="Arial" w:hAnsi="Arial"/>
                <w:color w:val="CCDDEE"/>
                <w:sz w:val="16"/>
                <w:szCs w:val="16"/>
              </w:rPr>
              <w:t xml:space="preserve">Seattle, WA</w:t>
            </w:r>
          </w:p>
          <w:p>
            <w:pPr>
              <w:spacing w:before="160" w:after="40"/>
            </w:pPr>
            <w:r>
              <w:rPr>
                <w:rFonts w:ascii="Arial" w:cs="Arial" w:eastAsia="Arial" w:hAnsi="Arial"/>
                <w:b/>
                <w:bCs/>
                <w:color w:val="FFD700"/>
                <w:sz w:val="18"/>
                <w:szCs w:val="18"/>
              </w:rPr>
              <w:t xml:space="preserve">TECH STACK</w:t>
            </w:r>
          </w:p>
          <w:p>
            <w:pPr>
              <w:spacing w:after="30"/>
            </w:pPr>
            <w:r>
              <w:rPr>
                <w:rFonts w:ascii="Arial" w:cs="Arial" w:eastAsia="Arial" w:hAnsi="Arial"/>
                <w:b/>
                <w:bCs/>
                <w:color w:val="ADD8E6"/>
                <w:sz w:val="15"/>
                <w:szCs w:val="15"/>
              </w:rPr>
              <w:t xml:space="preserve">LANGUAGES</w:t>
            </w:r>
          </w:p>
          <w:p>
            <w:pPr>
              <w:spacing w:after="50"/>
            </w:pPr>
            <w:r>
              <w:rPr>
                <w:rFonts w:ascii="Arial" w:cs="Arial" w:eastAsia="Arial" w:hAnsi="Arial"/>
                <w:color w:val="DDEEEE"/>
                <w:sz w:val="15"/>
                <w:szCs w:val="15"/>
              </w:rPr>
              <w:t xml:space="preserve">Python, Scala, R, SQL, DAX, M (Power Query), PySpark, T-SQL, Kotlin</w:t>
            </w:r>
          </w:p>
          <w:p>
            <w:pPr>
              <w:spacing w:after="30"/>
            </w:pPr>
            <w:r>
              <w:rPr>
                <w:rFonts w:ascii="Arial" w:cs="Arial" w:eastAsia="Arial" w:hAnsi="Arial"/>
                <w:b/>
                <w:bCs/>
                <w:color w:val="ADD8E6"/>
                <w:sz w:val="15"/>
                <w:szCs w:val="15"/>
              </w:rPr>
              <w:t xml:space="preserve">CLOUD</w:t>
            </w:r>
          </w:p>
          <w:p>
            <w:pPr>
              <w:spacing w:after="50"/>
            </w:pPr>
            <w:r>
              <w:rPr>
                <w:rFonts w:ascii="Arial" w:cs="Arial" w:eastAsia="Arial" w:hAnsi="Arial"/>
                <w:color w:val="DDEEEE"/>
                <w:sz w:val="15"/>
                <w:szCs w:val="15"/>
              </w:rPr>
              <w:t xml:space="preserve">Azure (Synapse Analytics, Data Factory, Databricks, Event Hubs, Stream Analytics, Purview, Cosmos DB, Azure ML, ADLS Gen...</w:t>
            </w:r>
          </w:p>
          <w:p>
            <w:pPr>
              <w:spacing w:after="30"/>
            </w:pPr>
            <w:r>
              <w:rPr>
                <w:rFonts w:ascii="Arial" w:cs="Arial" w:eastAsia="Arial" w:hAnsi="Arial"/>
                <w:b/>
                <w:bCs/>
                <w:color w:val="ADD8E6"/>
                <w:sz w:val="15"/>
                <w:szCs w:val="15"/>
              </w:rPr>
              <w:t xml:space="preserve">STREAMING</w:t>
            </w:r>
          </w:p>
          <w:p>
            <w:pPr>
              <w:spacing w:after="50"/>
            </w:pPr>
            <w:r>
              <w:rPr>
                <w:rFonts w:ascii="Arial" w:cs="Arial" w:eastAsia="Arial" w:hAnsi="Arial"/>
                <w:color w:val="DDEEEE"/>
                <w:sz w:val="15"/>
                <w:szCs w:val="15"/>
              </w:rPr>
              <w:t xml:space="preserve">Azure Event Hubs, Azure Stream Analytics, Apache Kafka, Apache Spark Structured Streaming, Azure Service Bus, RabbitMQ</w:t>
            </w:r>
          </w:p>
          <w:p>
            <w:pPr>
              <w:spacing w:after="30"/>
            </w:pPr>
            <w:r>
              <w:rPr>
                <w:rFonts w:ascii="Arial" w:cs="Arial" w:eastAsia="Arial" w:hAnsi="Arial"/>
                <w:b/>
                <w:bCs/>
                <w:color w:val="ADD8E6"/>
                <w:sz w:val="15"/>
                <w:szCs w:val="15"/>
              </w:rPr>
              <w:t xml:space="preserve">BIGDATA</w:t>
            </w:r>
          </w:p>
          <w:p>
            <w:pPr>
              <w:spacing w:after="50"/>
            </w:pPr>
            <w:r>
              <w:rPr>
                <w:rFonts w:ascii="Arial" w:cs="Arial" w:eastAsia="Arial" w:hAnsi="Arial"/>
                <w:color w:val="DDEEEE"/>
                <w:sz w:val="15"/>
                <w:szCs w:val="15"/>
              </w:rPr>
              <w:t xml:space="preserve">Apache Spark, Databricks, Delta Lake, Apache Hudi, Hive, HDFS, Presto</w:t>
            </w:r>
          </w:p>
          <w:p>
            <w:pPr>
              <w:spacing w:after="30"/>
            </w:pPr>
            <w:r>
              <w:rPr>
                <w:rFonts w:ascii="Arial" w:cs="Arial" w:eastAsia="Arial" w:hAnsi="Arial"/>
                <w:b/>
                <w:bCs/>
                <w:color w:val="ADD8E6"/>
                <w:sz w:val="15"/>
                <w:szCs w:val="15"/>
              </w:rPr>
              <w:t xml:space="preserve">ML</w:t>
            </w:r>
          </w:p>
          <w:p>
            <w:pPr>
              <w:spacing w:after="50"/>
            </w:pPr>
            <w:r>
              <w:rPr>
                <w:rFonts w:ascii="Arial" w:cs="Arial" w:eastAsia="Arial" w:hAnsi="Arial"/>
                <w:color w:val="DDEEEE"/>
                <w:sz w:val="15"/>
                <w:szCs w:val="15"/>
              </w:rPr>
              <w:t xml:space="preserve">Azure ML, MLflow, AutoML, scikit-learn, XGBoost, Prophet, Azure Cognitive Services, OpenAI API</w:t>
            </w:r>
          </w:p>
          <w:p>
            <w:pPr>
              <w:spacing w:after="30"/>
            </w:pPr>
            <w:r>
              <w:rPr>
                <w:rFonts w:ascii="Arial" w:cs="Arial" w:eastAsia="Arial" w:hAnsi="Arial"/>
                <w:b/>
                <w:bCs/>
                <w:color w:val="ADD8E6"/>
                <w:sz w:val="15"/>
                <w:szCs w:val="15"/>
              </w:rPr>
              <w:t xml:space="preserve">DATABASES</w:t>
            </w:r>
          </w:p>
          <w:p>
            <w:pPr>
              <w:spacing w:after="50"/>
            </w:pPr>
            <w:r>
              <w:rPr>
                <w:rFonts w:ascii="Arial" w:cs="Arial" w:eastAsia="Arial" w:hAnsi="Arial"/>
                <w:color w:val="DDEEEE"/>
                <w:sz w:val="15"/>
                <w:szCs w:val="15"/>
              </w:rPr>
              <w:t xml:space="preserve">Azure SQL, Azure Cosmos DB, Snowflake, PostgreSQL, MySQL, MongoDB, Oracle 19c, Teradata</w:t>
            </w:r>
          </w:p>
          <w:p>
            <w:pPr>
              <w:spacing w:after="30"/>
            </w:pPr>
            <w:r>
              <w:rPr>
                <w:rFonts w:ascii="Arial" w:cs="Arial" w:eastAsia="Arial" w:hAnsi="Arial"/>
                <w:b/>
                <w:bCs/>
                <w:color w:val="ADD8E6"/>
                <w:sz w:val="15"/>
                <w:szCs w:val="15"/>
              </w:rPr>
              <w:t xml:space="preserve">DEVOPS</w:t>
            </w:r>
          </w:p>
          <w:p>
            <w:pPr>
              <w:spacing w:after="50"/>
            </w:pPr>
            <w:r>
              <w:rPr>
                <w:rFonts w:ascii="Arial" w:cs="Arial" w:eastAsia="Arial" w:hAnsi="Arial"/>
                <w:color w:val="DDEEEE"/>
                <w:sz w:val="15"/>
                <w:szCs w:val="15"/>
              </w:rPr>
              <w:t xml:space="preserve">Azure DevOps, GitHub Actions, Terraform, ARM Templates, Bicep, Docker, Kubernetes (AKS), Jenkins</w:t>
            </w:r>
          </w:p>
          <w:p>
            <w:pPr>
              <w:spacing w:after="30"/>
            </w:pPr>
            <w:r>
              <w:rPr>
                <w:rFonts w:ascii="Arial" w:cs="Arial" w:eastAsia="Arial" w:hAnsi="Arial"/>
                <w:b/>
                <w:bCs/>
                <w:color w:val="ADD8E6"/>
                <w:sz w:val="15"/>
                <w:szCs w:val="15"/>
              </w:rPr>
              <w:t xml:space="preserve">GOVERNANCE</w:t>
            </w:r>
          </w:p>
          <w:p>
            <w:pPr>
              <w:spacing w:after="50"/>
            </w:pPr>
            <w:r>
              <w:rPr>
                <w:rFonts w:ascii="Arial" w:cs="Arial" w:eastAsia="Arial" w:hAnsi="Arial"/>
                <w:color w:val="DDEEEE"/>
                <w:sz w:val="15"/>
                <w:szCs w:val="15"/>
              </w:rPr>
              <w:t xml:space="preserve">Azure Purview, Collibra, Alation, dbt, Great Expectations, Apache Atlas, ERWIN</w:t>
            </w:r>
          </w:p>
          <w:p>
            <w:pPr>
              <w:spacing w:before="160" w:after="40"/>
            </w:pPr>
            <w:r>
              <w:rPr>
                <w:rFonts w:ascii="Arial" w:cs="Arial" w:eastAsia="Arial" w:hAnsi="Arial"/>
                <w:b/>
                <w:bCs/>
                <w:color w:val="FFD700"/>
                <w:sz w:val="18"/>
                <w:szCs w:val="18"/>
              </w:rPr>
              <w:t xml:space="preserve">EDUCATION</w:t>
            </w:r>
          </w:p>
          <w:p>
            <w:pPr>
              <w:spacing w:after="40"/>
            </w:pPr>
            <w:r>
              <w:rPr>
                <w:rFonts w:ascii="Arial" w:cs="Arial" w:eastAsia="Arial" w:hAnsi="Arial"/>
                <w:color w:val="CCDDEE"/>
                <w:sz w:val="15"/>
                <w:szCs w:val="15"/>
              </w:rPr>
              <w:t xml:space="preserve">M.S. Information Systems | University of Washington | 2010–2012</w:t>
            </w:r>
          </w:p>
          <w:p>
            <w:pPr>
              <w:spacing w:after="40"/>
            </w:pPr>
            <w:r>
              <w:rPr>
                <w:rFonts w:ascii="Arial" w:cs="Arial" w:eastAsia="Arial" w:hAnsi="Arial"/>
                <w:color w:val="CCDDEE"/>
                <w:sz w:val="15"/>
                <w:szCs w:val="15"/>
              </w:rPr>
              <w:t xml:space="preserve">B.Tech Computer Science | NIT Trichy | 2006–2010</w:t>
            </w:r>
          </w:p>
          <w:p>
            <w:pPr>
              <w:spacing w:before="140" w:after="40"/>
            </w:pPr>
            <w:r>
              <w:rPr>
                <w:rFonts w:ascii="Arial" w:cs="Arial" w:eastAsia="Arial" w:hAnsi="Arial"/>
                <w:b/>
                <w:bCs/>
                <w:color w:val="FFD700"/>
                <w:sz w:val="18"/>
                <w:szCs w:val="18"/>
              </w:rPr>
              <w:t xml:space="preserve">CERTS</w:t>
            </w:r>
          </w:p>
          <w:p>
            <w:pPr>
              <w:spacing w:after="30"/>
            </w:pPr>
            <w:r>
              <w:rPr>
                <w:rFonts w:ascii="Arial" w:cs="Arial" w:eastAsia="Arial" w:hAnsi="Arial"/>
                <w:color w:val="CCDDEE"/>
                <w:sz w:val="14"/>
                <w:szCs w:val="14"/>
              </w:rPr>
              <w:t xml:space="preserve">Microsoft Certified Azure Data Engineer Associate</w:t>
            </w:r>
          </w:p>
          <w:p>
            <w:pPr>
              <w:spacing w:after="30"/>
            </w:pPr>
            <w:r>
              <w:rPr>
                <w:rFonts w:ascii="Arial" w:cs="Arial" w:eastAsia="Arial" w:hAnsi="Arial"/>
                <w:color w:val="CCDDEE"/>
                <w:sz w:val="14"/>
                <w:szCs w:val="14"/>
              </w:rPr>
              <w:t xml:space="preserve">Databricks Certified Data Engineer Professional</w:t>
            </w:r>
          </w:p>
          <w:p>
            <w:pPr>
              <w:spacing w:after="30"/>
            </w:pPr>
            <w:r>
              <w:rPr>
                <w:rFonts w:ascii="Arial" w:cs="Arial" w:eastAsia="Arial" w:hAnsi="Arial"/>
                <w:color w:val="CCDDEE"/>
                <w:sz w:val="14"/>
                <w:szCs w:val="14"/>
              </w:rPr>
              <w:t xml:space="preserve">Snowflake SnowPro Core</w:t>
            </w:r>
          </w:p>
          <w:p>
            <w:pPr>
              <w:spacing w:after="30"/>
            </w:pPr>
            <w:r>
              <w:rPr>
                <w:rFonts w:ascii="Arial" w:cs="Arial" w:eastAsia="Arial" w:hAnsi="Arial"/>
                <w:color w:val="CCDDEE"/>
                <w:sz w:val="14"/>
                <w:szCs w:val="14"/>
              </w:rPr>
              <w:t xml:space="preserve">AWS Certified Data Analytics Specialty</w:t>
            </w:r>
          </w:p>
          <w:p>
            <w:pPr>
              <w:spacing w:after="30"/>
            </w:pPr>
            <w:r>
              <w:rPr>
                <w:rFonts w:ascii="Arial" w:cs="Arial" w:eastAsia="Arial" w:hAnsi="Arial"/>
                <w:color w:val="CCDDEE"/>
                <w:sz w:val="14"/>
                <w:szCs w:val="14"/>
              </w:rPr>
              <w:t xml:space="preserve">CDMP (DAMA)</w:t>
            </w:r>
          </w:p>
        </w:tc>
        <w:tc>
          <w:tcPr>
            <w:tcW w:type="dxa" w:w="6200"/>
            <w:tcBorders>
              <w:top w:val="none" w:color="FFFFFF" w:sz="0"/>
              <w:left w:val="none" w:color="FFFFFF" w:sz="0"/>
              <w:bottom w:val="none" w:color="FFFFFF" w:sz="0"/>
              <w:right w:val="none" w:color="FFFFFF" w:sz="0"/>
            </w:tcBorders>
            <w:tcMar>
              <w:top w:type="dxa" w:w="200"/>
              <w:left w:type="dxa" w:w="240"/>
              <w:bottom w:type="dxa" w:w="200"/>
              <w:right w:type="dxa" w:w="200"/>
            </w:tcMar>
          </w:tcPr>
          <w:p>
            <w:pPr>
              <w:pBdr>
                <w:top w:val="none" w:color="FFFFFF" w:sz="0"/>
                <w:bottom w:val="single" w:color="1E3A5F" w:sz="8"/>
                <w:left w:val="none" w:color="FFFFFF" w:sz="0"/>
                <w:right w:val="none" w:color="FFFFFF" w:sz="0"/>
              </w:pBdr>
              <w:spacing w:after="80"/>
            </w:pPr>
            <w:r>
              <w:rPr>
                <w:rFonts w:ascii="Arial" w:cs="Arial" w:eastAsia="Arial" w:hAnsi="Arial"/>
                <w:b/>
                <w:bCs/>
                <w:color w:val="1E3A5F"/>
                <w:sz w:val="22"/>
                <w:szCs w:val="22"/>
              </w:rPr>
              <w:t xml:space="preserve">SUMMARY</w:t>
            </w:r>
          </w:p>
          <w:p>
            <w:pPr>
              <w:spacing w:after="160"/>
            </w:pPr>
            <w:r>
              <w:rPr>
                <w:rFonts w:ascii="Arial" w:cs="Arial" w:eastAsia="Arial" w:hAnsi="Arial"/>
                <w:sz w:val="18"/>
                <w:szCs w:val="18"/>
              </w:rPr>
              <w:t xml:space="preserve">Senior Cloud Data Architect with 11+ years designing enterprise-grade data platforms, real-time analytics systems, and cloud migration strategies for Fortune 100 clients across healthcare, retail, and financial services. Expert in Azure Synapse, Databricks, Snowflake, Apache Spark, and event-driven architectures. Led major cloud transformation programs at Microsoft, Amazon, and JP Morgan Chase. Specialized in healthcare interoperability (HL7, FHIR), GDPR/CCPA compliance frameworks, and data mesh governance. Speaker at Strata Data Conference 2021 and Big Data LDN 2022.</w:t>
            </w:r>
          </w:p>
          <w:p>
            <w:pPr>
              <w:pBdr>
                <w:top w:val="none" w:color="FFFFFF" w:sz="0"/>
                <w:bottom w:val="single" w:color="1E3A5F" w:sz="8"/>
                <w:left w:val="none" w:color="FFFFFF" w:sz="0"/>
                <w:right w:val="none" w:color="FFFFFF" w:sz="0"/>
              </w:pBdr>
              <w:spacing w:after="80"/>
            </w:pPr>
            <w:r>
              <w:rPr>
                <w:rFonts w:ascii="Arial" w:cs="Arial" w:eastAsia="Arial" w:hAnsi="Arial"/>
                <w:b/>
                <w:bCs/>
                <w:color w:val="1E3A5F"/>
                <w:sz w:val="22"/>
                <w:szCs w:val="22"/>
              </w:rPr>
              <w:t xml:space="preserve">EXPERIENCE</w:t>
            </w:r>
          </w:p>
          <w:p>
            <w:pPr>
              <w:spacing w:before="140" w:after="30"/>
            </w:pPr>
            <w:r>
              <w:rPr>
                <w:rFonts w:ascii="Arial" w:cs="Arial" w:eastAsia="Arial" w:hAnsi="Arial"/>
                <w:b/>
                <w:bCs/>
                <w:color w:val="1E3A5F"/>
                <w:sz w:val="20"/>
                <w:szCs w:val="20"/>
              </w:rPr>
              <w:t xml:space="preserve">Senior Cloud Data Architect | Microsoft Corporation</w:t>
            </w:r>
          </w:p>
          <w:p>
            <w:pPr>
              <w:spacing w:after="60"/>
            </w:pPr>
            <w:r>
              <w:rPr>
                <w:rFonts w:ascii="Arial" w:cs="Arial" w:eastAsia="Arial" w:hAnsi="Arial"/>
                <w:i/>
                <w:iCs/>
                <w:color w:val="888888"/>
                <w:sz w:val="17"/>
                <w:szCs w:val="17"/>
              </w:rPr>
              <w:t xml:space="preserve">April 2021 – Present | Redmond, WA</w:t>
            </w:r>
          </w:p>
          <w:p>
            <w:pPr>
              <w:pStyle w:val="ListParagraph"/>
              <w:numPr>
                <w:ilvl w:val="0"/>
                <w:numId w:val="2"/>
              </w:numPr>
              <w:spacing w:after="40"/>
            </w:pPr>
            <w:r>
              <w:rPr>
                <w:rFonts w:ascii="Arial" w:cs="Arial" w:eastAsia="Arial" w:hAnsi="Arial"/>
                <w:sz w:val="17"/>
                <w:szCs w:val="17"/>
              </w:rPr>
              <w:t xml:space="preserve">Led architecture and delivery of Microsoft Azure Health Data Services platform enabling 340+ US hospital systems to ingest, transform, and analyze HL7 v2, HL7 FHIR R4, and DICOM medical imaging data, processing 2.8B clinical records annually with HIPAA and ONC Cures Act compliance.</w:t>
            </w:r>
          </w:p>
          <w:p>
            <w:pPr>
              <w:pStyle w:val="ListParagraph"/>
              <w:numPr>
                <w:ilvl w:val="0"/>
                <w:numId w:val="2"/>
              </w:numPr>
              <w:spacing w:after="40"/>
            </w:pPr>
            <w:r>
              <w:rPr>
                <w:rFonts w:ascii="Arial" w:cs="Arial" w:eastAsia="Arial" w:hAnsi="Arial"/>
                <w:sz w:val="17"/>
                <w:szCs w:val="17"/>
              </w:rPr>
              <w:t xml:space="preserve">Designed Azure Synapse Analytics data lakehouse replacing legacy SQL Server DW infrastructure for 12 major hospital networks, reducing query latency by 65% and cutting storage costs by $4.2M annually through intelligent tiered storage and result caching.</w:t>
            </w:r>
          </w:p>
          <w:p>
            <w:pPr>
              <w:pStyle w:val="ListParagraph"/>
              <w:numPr>
                <w:ilvl w:val="0"/>
                <w:numId w:val="2"/>
              </w:numPr>
              <w:spacing w:after="40"/>
            </w:pPr>
            <w:r>
              <w:rPr>
                <w:rFonts w:ascii="Arial" w:cs="Arial" w:eastAsia="Arial" w:hAnsi="Arial"/>
                <w:sz w:val="17"/>
                <w:szCs w:val="17"/>
              </w:rPr>
              <w:t xml:space="preserve">Architected real-time clinical event streaming platform using Azure Event Hubs (50 partitions), Azure Stream Analytics, and Databricks Structured Streaming, delivering ADT (Admit/Discharge/Transfer) notifications to care teams within 3 seconds of EHR system events.</w:t>
            </w:r>
          </w:p>
          <w:p>
            <w:pPr>
              <w:pStyle w:val="ListParagraph"/>
              <w:numPr>
                <w:ilvl w:val="0"/>
                <w:numId w:val="2"/>
              </w:numPr>
              <w:spacing w:after="40"/>
            </w:pPr>
            <w:r>
              <w:rPr>
                <w:rFonts w:ascii="Arial" w:cs="Arial" w:eastAsia="Arial" w:hAnsi="Arial"/>
                <w:sz w:val="17"/>
                <w:szCs w:val="17"/>
              </w:rPr>
              <w:t xml:space="preserve">Built federated data governance framework using Azure Purview, cataloging 180,000+ healthcare datasets across 12 Azure subscriptions with automated PHI detection using Azure Cognitive Services custom NER models achieving 98.4% recall.</w:t>
            </w:r>
          </w:p>
          <w:p>
            <w:pPr>
              <w:pStyle w:val="ListParagraph"/>
              <w:numPr>
                <w:ilvl w:val="0"/>
                <w:numId w:val="2"/>
              </w:numPr>
              <w:spacing w:after="40"/>
            </w:pPr>
            <w:r>
              <w:rPr>
                <w:rFonts w:ascii="Arial" w:cs="Arial" w:eastAsia="Arial" w:hAnsi="Arial"/>
                <w:sz w:val="17"/>
                <w:szCs w:val="17"/>
              </w:rPr>
              <w:t xml:space="preserve">Developed automated FHIR data transformation pipelines using Azure Data Factory, custom Python FHIR parsers, and Databricks, converting 450M legacy HL7 v2 messages to FHIR R4 bundles, enabling CMS Interoperability Rule compliance for 28 ACO organizations.</w:t>
            </w:r>
          </w:p>
          <w:p>
            <w:pPr>
              <w:pStyle w:val="ListParagraph"/>
              <w:numPr>
                <w:ilvl w:val="0"/>
                <w:numId w:val="2"/>
              </w:numPr>
              <w:spacing w:after="40"/>
            </w:pPr>
            <w:r>
              <w:rPr>
                <w:rFonts w:ascii="Arial" w:cs="Arial" w:eastAsia="Arial" w:hAnsi="Arial"/>
                <w:sz w:val="17"/>
                <w:szCs w:val="17"/>
              </w:rPr>
              <w:t xml:space="preserve">Implemented Databricks Unity Catalog for fine-grained access control, row-level security, and column-level data masking across 85 PII/PHI columns, supporting HIPAA Minimum Necessary Standard and enabling secure multi-tenant analytics for competing hospital systems.</w:t>
            </w:r>
          </w:p>
          <w:p>
            <w:pPr>
              <w:pStyle w:val="ListParagraph"/>
              <w:numPr>
                <w:ilvl w:val="0"/>
                <w:numId w:val="2"/>
              </w:numPr>
              <w:spacing w:after="40"/>
            </w:pPr>
            <w:r>
              <w:rPr>
                <w:rFonts w:ascii="Arial" w:cs="Arial" w:eastAsia="Arial" w:hAnsi="Arial"/>
                <w:sz w:val="17"/>
                <w:szCs w:val="17"/>
              </w:rPr>
              <w:t xml:space="preserve">Engineered predictive readmission risk model using Azure ML AutoML, XGBoost, and Prophet, trained on 8M+ patient records identifying high-risk patients with 0.81 AUROC, integrated into Azure Synapse analytical workflows for daily patient risk stratification reports.</w:t>
            </w:r>
          </w:p>
          <w:p>
            <w:pPr>
              <w:pStyle w:val="ListParagraph"/>
              <w:numPr>
                <w:ilvl w:val="0"/>
                <w:numId w:val="2"/>
              </w:numPr>
              <w:spacing w:after="40"/>
            </w:pPr>
            <w:r>
              <w:rPr>
                <w:rFonts w:ascii="Arial" w:cs="Arial" w:eastAsia="Arial" w:hAnsi="Arial"/>
                <w:sz w:val="17"/>
                <w:szCs w:val="17"/>
              </w:rPr>
              <w:t xml:space="preserve">Led Azure cloud migration program for 3 Epic EHR deployments, designing Azure Landing Zone architecture, migrating 45TB historical clinical data using Azure Data Factory, and establishing DevSecOps pipelines with Azure DevOps and Terraform for HITRUST compliance.</w:t>
            </w:r>
          </w:p>
          <w:p>
            <w:pPr>
              <w:pStyle w:val="ListParagraph"/>
              <w:numPr>
                <w:ilvl w:val="0"/>
                <w:numId w:val="2"/>
              </w:numPr>
              <w:spacing w:after="40"/>
            </w:pPr>
            <w:r>
              <w:rPr>
                <w:rFonts w:ascii="Arial" w:cs="Arial" w:eastAsia="Arial" w:hAnsi="Arial"/>
                <w:sz w:val="17"/>
                <w:szCs w:val="17"/>
              </w:rPr>
              <w:t xml:space="preserve">Built self-service analytics platform using Azure Synapse Serverless SQL, Power BI Premium, and Databricks SQL, enabling 2,200+ clinical informatics users to query FHIR data without SQL expertise through pre-built semantic models and row-level security.</w:t>
            </w:r>
          </w:p>
          <w:p>
            <w:pPr>
              <w:pStyle w:val="ListParagraph"/>
              <w:numPr>
                <w:ilvl w:val="0"/>
                <w:numId w:val="2"/>
              </w:numPr>
              <w:spacing w:after="40"/>
            </w:pPr>
            <w:r>
              <w:rPr>
                <w:rFonts w:ascii="Arial" w:cs="Arial" w:eastAsia="Arial" w:hAnsi="Arial"/>
                <w:sz w:val="17"/>
                <w:szCs w:val="17"/>
              </w:rPr>
              <w:t xml:space="preserve">Environment: Azure Synapse, Azure Data Factory, Databricks, Delta Lake, Azure Purview, Event Hubs, Stream Analytics, Azure ML, Cosmos DB, ADLS Gen2, Terraform, Python, Scala, dbt, HL7 FHIR, Power BI, Azure DevOps, Azure Cognitive Services</w:t>
            </w:r>
          </w:p>
          <w:p>
            <w:pPr>
              <w:spacing w:after="60"/>
            </w:pPr>
          </w:p>
          <w:p>
            <w:pPr>
              <w:spacing w:before="140" w:after="30"/>
            </w:pPr>
            <w:r>
              <w:rPr>
                <w:rFonts w:ascii="Arial" w:cs="Arial" w:eastAsia="Arial" w:hAnsi="Arial"/>
                <w:b/>
                <w:bCs/>
                <w:color w:val="1E3A5F"/>
                <w:sz w:val="20"/>
                <w:szCs w:val="20"/>
              </w:rPr>
              <w:t xml:space="preserve">Data Engineer III | Amazon.com Inc.</w:t>
            </w:r>
          </w:p>
          <w:p>
            <w:pPr>
              <w:spacing w:after="60"/>
            </w:pPr>
            <w:r>
              <w:rPr>
                <w:rFonts w:ascii="Arial" w:cs="Arial" w:eastAsia="Arial" w:hAnsi="Arial"/>
                <w:i/>
                <w:iCs/>
                <w:color w:val="888888"/>
                <w:sz w:val="17"/>
                <w:szCs w:val="17"/>
              </w:rPr>
              <w:t xml:space="preserve">August 2017 – March 2021 | Seattle, WA</w:t>
            </w:r>
          </w:p>
          <w:p>
            <w:pPr>
              <w:pStyle w:val="ListParagraph"/>
              <w:numPr>
                <w:ilvl w:val="0"/>
                <w:numId w:val="2"/>
              </w:numPr>
              <w:spacing w:after="40"/>
            </w:pPr>
            <w:r>
              <w:rPr>
                <w:rFonts w:ascii="Arial" w:cs="Arial" w:eastAsia="Arial" w:hAnsi="Arial"/>
                <w:sz w:val="17"/>
                <w:szCs w:val="17"/>
              </w:rPr>
              <w:t xml:space="preserve">Designed and built Amazon's supplier analytics platform on AWS Redshift and S3 Data Lake, processing 3.2B daily inventory events, purchase orders, and logistics records from 450,000+ global suppliers, enabling real-time supply chain visibility for Amazon's worldwide operations.</w:t>
            </w:r>
          </w:p>
          <w:p>
            <w:pPr>
              <w:pStyle w:val="ListParagraph"/>
              <w:numPr>
                <w:ilvl w:val="0"/>
                <w:numId w:val="2"/>
              </w:numPr>
              <w:spacing w:after="40"/>
            </w:pPr>
            <w:r>
              <w:rPr>
                <w:rFonts w:ascii="Arial" w:cs="Arial" w:eastAsia="Arial" w:hAnsi="Arial"/>
                <w:sz w:val="17"/>
                <w:szCs w:val="17"/>
              </w:rPr>
              <w:t xml:space="preserve">Architected Snowflake data sharing platform for Amazon Vendor Central, enabling secure cross-account analytics for 125,000 third-party sellers with real-time sales velocity, return rate, and inventory health dashboards using Snowflake Dynamic Tables and Streams.</w:t>
            </w:r>
          </w:p>
          <w:p>
            <w:pPr>
              <w:pStyle w:val="ListParagraph"/>
              <w:numPr>
                <w:ilvl w:val="0"/>
                <w:numId w:val="2"/>
              </w:numPr>
              <w:spacing w:after="40"/>
            </w:pPr>
            <w:r>
              <w:rPr>
                <w:rFonts w:ascii="Arial" w:cs="Arial" w:eastAsia="Arial" w:hAnsi="Arial"/>
                <w:sz w:val="17"/>
                <w:szCs w:val="17"/>
              </w:rPr>
              <w:t xml:space="preserve">Built real-time product pricing analytics using AWS Kinesis Data Streams, AWS Lambda, and DynamoDB, processing 180M daily price change events across 350M+ product catalog, enabling automated competitive pricing responses within 500ms.</w:t>
            </w:r>
          </w:p>
          <w:p>
            <w:pPr>
              <w:pStyle w:val="ListParagraph"/>
              <w:numPr>
                <w:ilvl w:val="0"/>
                <w:numId w:val="2"/>
              </w:numPr>
              <w:spacing w:after="40"/>
            </w:pPr>
            <w:r>
              <w:rPr>
                <w:rFonts w:ascii="Arial" w:cs="Arial" w:eastAsia="Arial" w:hAnsi="Arial"/>
                <w:sz w:val="17"/>
                <w:szCs w:val="17"/>
              </w:rPr>
              <w:t xml:space="preserve">Implemented AWS Lake Formation fine-grained permissions for Amazon's customer behavioral analytics data lake, managing attribute-based access control for 800+ analysts across 12 business units with automated PII detection and CCPA data subject request workflows.</w:t>
            </w:r>
          </w:p>
          <w:p>
            <w:pPr>
              <w:pStyle w:val="ListParagraph"/>
              <w:numPr>
                <w:ilvl w:val="0"/>
                <w:numId w:val="2"/>
              </w:numPr>
              <w:spacing w:after="40"/>
            </w:pPr>
            <w:r>
              <w:rPr>
                <w:rFonts w:ascii="Arial" w:cs="Arial" w:eastAsia="Arial" w:hAnsi="Arial"/>
                <w:sz w:val="17"/>
                <w:szCs w:val="17"/>
              </w:rPr>
              <w:t xml:space="preserve">Engineered dbt-based data transformation framework replacing 1,200+ legacy SQL stored procedures, implementing automated data lineage, testing, and documentation for Amazon Advertising data warehouse serving $38B annual advertising revenue.</w:t>
            </w:r>
          </w:p>
          <w:p>
            <w:pPr>
              <w:pStyle w:val="ListParagraph"/>
              <w:numPr>
                <w:ilvl w:val="0"/>
                <w:numId w:val="2"/>
              </w:numPr>
              <w:spacing w:after="40"/>
            </w:pPr>
            <w:r>
              <w:rPr>
                <w:rFonts w:ascii="Arial" w:cs="Arial" w:eastAsia="Arial" w:hAnsi="Arial"/>
                <w:sz w:val="17"/>
                <w:szCs w:val="17"/>
              </w:rPr>
              <w:t xml:space="preserve">Built Amazon Alexa shopping intent analytics pipeline using AWS EMR, Apache Spark, and AWS Glue, processing 120M+ daily voice queries with NLU entity extraction, purchase intent scoring, and real-time product recommendation feature generation.</w:t>
            </w:r>
          </w:p>
          <w:p>
            <w:pPr>
              <w:pStyle w:val="ListParagraph"/>
              <w:numPr>
                <w:ilvl w:val="0"/>
                <w:numId w:val="2"/>
              </w:numPr>
              <w:spacing w:after="40"/>
            </w:pPr>
            <w:r>
              <w:rPr>
                <w:rFonts w:ascii="Arial" w:cs="Arial" w:eastAsia="Arial" w:hAnsi="Arial"/>
                <w:sz w:val="17"/>
                <w:szCs w:val="17"/>
              </w:rPr>
              <w:t xml:space="preserve">Environment: AWS Redshift, AWS Glue, AWS EMR, AWS Athena, S3, Lake Formation, Kinesis, DynamoDB, Snowflake, Apache Spark, dbt, Python, Power BI</w:t>
            </w:r>
          </w:p>
          <w:p>
            <w:pPr>
              <w:spacing w:after="60"/>
            </w:pPr>
          </w:p>
          <w:p>
            <w:pPr>
              <w:spacing w:before="140" w:after="30"/>
            </w:pPr>
            <w:r>
              <w:rPr>
                <w:rFonts w:ascii="Arial" w:cs="Arial" w:eastAsia="Arial" w:hAnsi="Arial"/>
                <w:b/>
                <w:bCs/>
                <w:color w:val="1E3A5F"/>
                <w:sz w:val="20"/>
                <w:szCs w:val="20"/>
              </w:rPr>
              <w:t xml:space="preserve">Data Engineer | JP Morgan Chase &amp; Co.</w:t>
            </w:r>
          </w:p>
          <w:p>
            <w:pPr>
              <w:spacing w:after="60"/>
            </w:pPr>
            <w:r>
              <w:rPr>
                <w:rFonts w:ascii="Arial" w:cs="Arial" w:eastAsia="Arial" w:hAnsi="Arial"/>
                <w:i/>
                <w:iCs/>
                <w:color w:val="888888"/>
                <w:sz w:val="17"/>
                <w:szCs w:val="17"/>
              </w:rPr>
              <w:t xml:space="preserve">September 2014 – July 2017 | New York, NY</w:t>
            </w:r>
          </w:p>
          <w:p>
            <w:pPr>
              <w:pStyle w:val="ListParagraph"/>
              <w:numPr>
                <w:ilvl w:val="0"/>
                <w:numId w:val="2"/>
              </w:numPr>
              <w:spacing w:after="40"/>
            </w:pPr>
            <w:r>
              <w:rPr>
                <w:rFonts w:ascii="Arial" w:cs="Arial" w:eastAsia="Arial" w:hAnsi="Arial"/>
                <w:sz w:val="17"/>
                <w:szCs w:val="17"/>
              </w:rPr>
              <w:t xml:space="preserve">Built consumer banking data warehouse on Teradata supporting 52M US customer accounts, processing daily transaction feeds from ATM networks, credit card processors, and online banking platforms with SOX and GLBA compliance.</w:t>
            </w:r>
          </w:p>
          <w:p>
            <w:pPr>
              <w:pStyle w:val="ListParagraph"/>
              <w:numPr>
                <w:ilvl w:val="0"/>
                <w:numId w:val="2"/>
              </w:numPr>
              <w:spacing w:after="40"/>
            </w:pPr>
            <w:r>
              <w:rPr>
                <w:rFonts w:ascii="Arial" w:cs="Arial" w:eastAsia="Arial" w:hAnsi="Arial"/>
                <w:sz w:val="17"/>
                <w:szCs w:val="17"/>
              </w:rPr>
              <w:t xml:space="preserve">Developed Informatica PowerCenter ETL pipelines for JPMC's AML (Anti-Money Laundering) transaction monitoring system, processing 400M daily transactions against OFAC watchlists and behavioral anomaly models with sub-4-hour latency.</w:t>
            </w:r>
          </w:p>
          <w:p>
            <w:pPr>
              <w:pStyle w:val="ListParagraph"/>
              <w:numPr>
                <w:ilvl w:val="0"/>
                <w:numId w:val="2"/>
              </w:numPr>
              <w:spacing w:after="40"/>
            </w:pPr>
            <w:r>
              <w:rPr>
                <w:rFonts w:ascii="Arial" w:cs="Arial" w:eastAsia="Arial" w:hAnsi="Arial"/>
                <w:sz w:val="17"/>
                <w:szCs w:val="17"/>
              </w:rPr>
              <w:t xml:space="preserve">Implemented Collibra data governance platform for JPMC Consumer Bank, cataloging 4,800 critical data elements, establishing data stewardship workflows, and managing BCBS 239 regulatory data quality reporting for Federal Reserve submissions.</w:t>
            </w:r>
          </w:p>
          <w:p>
            <w:pPr>
              <w:pStyle w:val="ListParagraph"/>
              <w:numPr>
                <w:ilvl w:val="0"/>
                <w:numId w:val="2"/>
              </w:numPr>
              <w:spacing w:after="40"/>
            </w:pPr>
            <w:r>
              <w:rPr>
                <w:rFonts w:ascii="Arial" w:cs="Arial" w:eastAsia="Arial" w:hAnsi="Arial"/>
                <w:sz w:val="17"/>
                <w:szCs w:val="17"/>
              </w:rPr>
              <w:t xml:space="preserve">Environment: Teradata, Informatica PowerCenter, Oracle 19c, SQL Server, SSIS, Python, Tableau, Collibra, ERWIN</w:t>
            </w:r>
          </w:p>
          <w:p>
            <w:pPr>
              <w:spacing w:after="60"/>
            </w:pPr>
          </w:p>
          <w:p>
            <w:pPr>
              <w:spacing w:before="140" w:after="30"/>
            </w:pPr>
            <w:r>
              <w:rPr>
                <w:rFonts w:ascii="Arial" w:cs="Arial" w:eastAsia="Arial" w:hAnsi="Arial"/>
                <w:b/>
                <w:bCs/>
                <w:color w:val="1E3A5F"/>
                <w:sz w:val="20"/>
                <w:szCs w:val="20"/>
              </w:rPr>
              <w:t xml:space="preserve">Data Analytics Consultant | Deloitte Consulting</w:t>
            </w:r>
          </w:p>
          <w:p>
            <w:pPr>
              <w:spacing w:after="60"/>
            </w:pPr>
            <w:r>
              <w:rPr>
                <w:rFonts w:ascii="Arial" w:cs="Arial" w:eastAsia="Arial" w:hAnsi="Arial"/>
                <w:i/>
                <w:iCs/>
                <w:color w:val="888888"/>
                <w:sz w:val="17"/>
                <w:szCs w:val="17"/>
              </w:rPr>
              <w:t xml:space="preserve">July 2012 – August 2014 | Chicago, IL</w:t>
            </w:r>
          </w:p>
          <w:p>
            <w:pPr>
              <w:pStyle w:val="ListParagraph"/>
              <w:numPr>
                <w:ilvl w:val="0"/>
                <w:numId w:val="2"/>
              </w:numPr>
              <w:spacing w:after="40"/>
            </w:pPr>
            <w:r>
              <w:rPr>
                <w:rFonts w:ascii="Arial" w:cs="Arial" w:eastAsia="Arial" w:hAnsi="Arial"/>
                <w:sz w:val="17"/>
                <w:szCs w:val="17"/>
              </w:rPr>
              <w:t xml:space="preserve">Delivered data analytics solutions for 8 Fortune 500 clients across retail, manufacturing, and insurance sectors, leading requirements gathering, data modeling, ETL development, and BI dashboard delivery using SQL Server, SSIS, and Tableau.</w:t>
            </w:r>
          </w:p>
          <w:p>
            <w:pPr>
              <w:pStyle w:val="ListParagraph"/>
              <w:numPr>
                <w:ilvl w:val="0"/>
                <w:numId w:val="2"/>
              </w:numPr>
              <w:spacing w:after="40"/>
            </w:pPr>
            <w:r>
              <w:rPr>
                <w:rFonts w:ascii="Arial" w:cs="Arial" w:eastAsia="Arial" w:hAnsi="Arial"/>
                <w:sz w:val="17"/>
                <w:szCs w:val="17"/>
              </w:rPr>
              <w:t xml:space="preserve">Built insurance claims analytics platform for a top-5 US insurer using Oracle and SSIS, processing 2M+ daily claims records with automated fraud scoring and regulatory reporting for state insurance department submissions.</w:t>
            </w:r>
          </w:p>
          <w:p>
            <w:pPr>
              <w:pStyle w:val="ListParagraph"/>
              <w:numPr>
                <w:ilvl w:val="0"/>
                <w:numId w:val="2"/>
              </w:numPr>
              <w:spacing w:after="40"/>
            </w:pPr>
            <w:r>
              <w:rPr>
                <w:rFonts w:ascii="Arial" w:cs="Arial" w:eastAsia="Arial" w:hAnsi="Arial"/>
                <w:sz w:val="17"/>
                <w:szCs w:val="17"/>
              </w:rPr>
              <w:t xml:space="preserve">Environment: SQL Server, SSIS, SSRS, Tableau, Oracle, Python, Informatica</w:t>
            </w:r>
          </w:p>
          <w:p>
            <w:pPr>
              <w:spacing w:after="60"/>
            </w:pPr>
          </w:p>
        </w:tc>
      </w:tr>
    </w:tbl>
    <w:sectPr>
      <w:pgSz w:w="12240" w:h="15840" w:orient="portrait"/>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2026-03-13T10:53:05.218Z</dcterms:created>
  <dcterms:modified xsi:type="dcterms:W3CDTF">2026-03-13T10:53:05.218Z</dcterms:modified>
</cp:coreProperties>
</file>

<file path=docProps/custom.xml><?xml version="1.0" encoding="utf-8"?>
<Properties xmlns="http://schemas.openxmlformats.org/officeDocument/2006/custom-properties" xmlns:vt="http://schemas.openxmlformats.org/officeDocument/2006/docPropsVTypes"/>
</file>