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Helvetica Neue" w:cs="Helvetica Neue" w:eastAsia="Helvetica Neue" w:hAnsi="Helvetica Neue"/>
          <w:b/>
          <w:bCs/>
          <w:color w:val="111111"/>
          <w:sz w:val="56"/>
          <w:szCs w:val="56"/>
        </w:rPr>
        <w:t xml:space="preserve">MARCUS WELLINGTON</w:t>
      </w:r>
    </w:p>
    <w:p>
      <w:pPr>
        <w:spacing w:after="20"/>
      </w:pPr>
      <w:r>
        <w:rPr>
          <w:rFonts w:ascii="Helvetica Neue" w:cs="Helvetica Neue" w:eastAsia="Helvetica Neue" w:hAnsi="Helvetica Neue"/>
          <w:color w:val="C62828"/>
          <w:sz w:val="24"/>
          <w:szCs w:val="24"/>
        </w:rPr>
        <w:t xml:space="preserve">Staff Data Engineer / Platform Architect</w:t>
      </w:r>
    </w:p>
    <w:p>
      <w:pPr>
        <w:pBdr>
          <w:top w:val="none" w:color="FFFFFF" w:sz="0"/>
          <w:bottom w:val="single" w:color="C62828" w:sz="8"/>
          <w:left w:val="none" w:color="FFFFFF" w:sz="0"/>
          <w:right w:val="none" w:color="FFFFFF" w:sz="0"/>
        </w:pBdr>
        <w:spacing w:after="200"/>
      </w:pPr>
      <w:r>
        <w:rPr>
          <w:rFonts w:ascii="Helvetica Neue" w:cs="Helvetica Neue" w:eastAsia="Helvetica Neue" w:hAnsi="Helvetica Neue"/>
          <w:color w:val="555555"/>
          <w:sz w:val="17"/>
          <w:szCs w:val="17"/>
        </w:rPr>
        <w:t xml:space="preserve">+1 (646) 331-7705   mwellington.eng@dataplex.dev   linkedin.com/in/marcus-wellington-data   New York, NY</w:t>
      </w:r>
    </w:p>
    <w:p>
      <w:pPr>
        <w:spacing w:before="180" w:after="80"/>
      </w:pPr>
      <w:r>
        <w:rPr>
          <w:rFonts w:ascii="Helvetica Neue" w:cs="Helvetica Neue" w:eastAsia="Helvetica Neue" w:hAnsi="Helvetica Neue"/>
          <w:b/>
          <w:bCs/>
          <w:color w:val="C62828"/>
          <w:sz w:val="24"/>
          <w:szCs w:val="24"/>
        </w:rPr>
        <w:t xml:space="preserve">PROFILE</w:t>
      </w:r>
      <w:r>
        <w:rPr>
          <w:rFonts w:ascii="Helvetica Neue" w:cs="Helvetica Neue" w:eastAsia="Helvetica Neue" w:hAnsi="Helvetica Neue"/>
          <w:color w:val="DDDDDD"/>
          <w:sz w:val="18"/>
          <w:szCs w:val="18"/>
        </w:rPr>
        <w:t xml:space="preserve">  ─────────────────────────────────</w:t>
      </w:r>
    </w:p>
    <w:p>
      <w:pPr>
        <w:spacing w:after="140"/>
      </w:pPr>
      <w:r>
        <w:rPr>
          <w:rFonts w:ascii="Helvetica Neue" w:cs="Helvetica Neue" w:eastAsia="Helvetica Neue" w:hAnsi="Helvetica Neue"/>
          <w:sz w:val="18"/>
          <w:szCs w:val="18"/>
        </w:rPr>
        <w:t xml:space="preserve">Staff Data Engineer and Platform Architect with 13+ years of expertise in financial data platforms, quantitative analytics infrastructure, and real-time risk management systems. Deep experience at Goldman Sachs, Bloomberg LP, and Citadel Securities building mission-critical, low-latency financial data infrastructure. Expert in Python, Java, kdb+/q, Apache Kafka, ClickHouse, and Kubernetes. Led teams delivering FINRA/SEC-compliant trade surveillance platforms processing trillions of dollars in daily transaction volume. Known for architecting ultra-low-latency systems with microsecond-level processing guarantees.</w:t>
      </w:r>
    </w:p>
    <w:p>
      <w:pPr>
        <w:spacing w:before="180" w:after="80"/>
      </w:pPr>
      <w:r>
        <w:rPr>
          <w:rFonts w:ascii="Helvetica Neue" w:cs="Helvetica Neue" w:eastAsia="Helvetica Neue" w:hAnsi="Helvetica Neue"/>
          <w:b/>
          <w:bCs/>
          <w:color w:val="C62828"/>
          <w:sz w:val="24"/>
          <w:szCs w:val="24"/>
        </w:rPr>
        <w:t xml:space="preserve">SKILLS</w:t>
      </w:r>
      <w:r>
        <w:rPr>
          <w:rFonts w:ascii="Helvetica Neue" w:cs="Helvetica Neue" w:eastAsia="Helvetica Neue" w:hAnsi="Helvetica Neue"/>
          <w:color w:val="DDDDDD"/>
          <w:sz w:val="18"/>
          <w:szCs w:val="18"/>
        </w:rPr>
        <w:t xml:space="preserve">  ─────────────────────────────────</w:t>
      </w:r>
    </w:p>
    <w:p>
      <w:pPr>
        <w:spacing w:after="55"/>
      </w:pPr>
      <w:r>
        <w:rPr>
          <w:rFonts w:ascii="Helvetica Neue" w:cs="Helvetica Neue" w:eastAsia="Helvetica Neue" w:hAnsi="Helvetica Neue"/>
          <w:b/>
          <w:bCs/>
          <w:color w:val="C62828"/>
          <w:sz w:val="17"/>
          <w:szCs w:val="17"/>
        </w:rPr>
        <w:t xml:space="preserve">Languages: </w:t>
      </w:r>
      <w:r>
        <w:rPr>
          <w:rFonts w:ascii="Helvetica Neue" w:cs="Helvetica Neue" w:eastAsia="Helvetica Neue" w:hAnsi="Helvetica Neue"/>
          <w:sz w:val="17"/>
          <w:szCs w:val="17"/>
        </w:rPr>
        <w:t xml:space="preserve">Python, Java, Scala, C++, kdb+/q, SQL, Bash, Julia</w:t>
      </w:r>
    </w:p>
    <w:p>
      <w:pPr>
        <w:spacing w:after="55"/>
      </w:pPr>
      <w:r>
        <w:rPr>
          <w:rFonts w:ascii="Helvetica Neue" w:cs="Helvetica Neue" w:eastAsia="Helvetica Neue" w:hAnsi="Helvetica Neue"/>
          <w:b/>
          <w:bCs/>
          <w:color w:val="C62828"/>
          <w:sz w:val="17"/>
          <w:szCs w:val="17"/>
        </w:rPr>
        <w:t xml:space="preserve">Cloud: </w:t>
      </w:r>
      <w:r>
        <w:rPr>
          <w:rFonts w:ascii="Helvetica Neue" w:cs="Helvetica Neue" w:eastAsia="Helvetica Neue" w:hAnsi="Helvetica Neue"/>
          <w:sz w:val="17"/>
          <w:szCs w:val="17"/>
        </w:rPr>
        <w:t xml:space="preserve">AWS (EC2, ECS, EKS, S3, Glue, Kinesis, MSK, RDS, Aurora, ElastiCache, CloudFormation, Step Functions), GCP (BigQuery, Dataflow, GKE, Pub/Sub)</w:t>
      </w:r>
    </w:p>
    <w:p>
      <w:pPr>
        <w:spacing w:after="55"/>
      </w:pPr>
      <w:r>
        <w:rPr>
          <w:rFonts w:ascii="Helvetica Neue" w:cs="Helvetica Neue" w:eastAsia="Helvetica Neue" w:hAnsi="Helvetica Neue"/>
          <w:b/>
          <w:bCs/>
          <w:color w:val="C62828"/>
          <w:sz w:val="17"/>
          <w:szCs w:val="17"/>
        </w:rPr>
        <w:t xml:space="preserve">Databases: </w:t>
      </w:r>
      <w:r>
        <w:rPr>
          <w:rFonts w:ascii="Helvetica Neue" w:cs="Helvetica Neue" w:eastAsia="Helvetica Neue" w:hAnsi="Helvetica Neue"/>
          <w:sz w:val="17"/>
          <w:szCs w:val="17"/>
        </w:rPr>
        <w:t xml:space="preserve">kdb+/q, ClickHouse, Druid, TimescaleDB, InfluxDB, Cassandra, Redis, PostgreSQL, Oracle Financial Services DB</w:t>
      </w:r>
    </w:p>
    <w:p>
      <w:pPr>
        <w:spacing w:after="55"/>
      </w:pPr>
      <w:r>
        <w:rPr>
          <w:rFonts w:ascii="Helvetica Neue" w:cs="Helvetica Neue" w:eastAsia="Helvetica Neue" w:hAnsi="Helvetica Neue"/>
          <w:b/>
          <w:bCs/>
          <w:color w:val="C62828"/>
          <w:sz w:val="17"/>
          <w:szCs w:val="17"/>
        </w:rPr>
        <w:t xml:space="preserve">Streaming: </w:t>
      </w:r>
      <w:r>
        <w:rPr>
          <w:rFonts w:ascii="Helvetica Neue" w:cs="Helvetica Neue" w:eastAsia="Helvetica Neue" w:hAnsi="Helvetica Neue"/>
          <w:sz w:val="17"/>
          <w:szCs w:val="17"/>
        </w:rPr>
        <w:t xml:space="preserve">Apache Kafka (MSK), Apache Flink, Confluent Platform, Chronicle Queue, Aeron, AWS Kinesis</w:t>
      </w:r>
    </w:p>
    <w:p>
      <w:pPr>
        <w:spacing w:after="55"/>
      </w:pPr>
      <w:r>
        <w:rPr>
          <w:rFonts w:ascii="Helvetica Neue" w:cs="Helvetica Neue" w:eastAsia="Helvetica Neue" w:hAnsi="Helvetica Neue"/>
          <w:b/>
          <w:bCs/>
          <w:color w:val="C62828"/>
          <w:sz w:val="17"/>
          <w:szCs w:val="17"/>
        </w:rPr>
        <w:t xml:space="preserve">Bigdata: </w:t>
      </w:r>
      <w:r>
        <w:rPr>
          <w:rFonts w:ascii="Helvetica Neue" w:cs="Helvetica Neue" w:eastAsia="Helvetica Neue" w:hAnsi="Helvetica Neue"/>
          <w:sz w:val="17"/>
          <w:szCs w:val="17"/>
        </w:rPr>
        <w:t xml:space="preserve">Apache Spark, Databricks, Delta Lake, Apache Iceberg, Hive, Presto</w:t>
      </w:r>
    </w:p>
    <w:p>
      <w:pPr>
        <w:spacing w:after="55"/>
      </w:pPr>
      <w:r>
        <w:rPr>
          <w:rFonts w:ascii="Helvetica Neue" w:cs="Helvetica Neue" w:eastAsia="Helvetica Neue" w:hAnsi="Helvetica Neue"/>
          <w:b/>
          <w:bCs/>
          <w:color w:val="C62828"/>
          <w:sz w:val="17"/>
          <w:szCs w:val="17"/>
        </w:rPr>
        <w:t xml:space="preserve">Ml: </w:t>
      </w:r>
      <w:r>
        <w:rPr>
          <w:rFonts w:ascii="Helvetica Neue" w:cs="Helvetica Neue" w:eastAsia="Helvetica Neue" w:hAnsi="Helvetica Neue"/>
          <w:sz w:val="17"/>
          <w:szCs w:val="17"/>
        </w:rPr>
        <w:t xml:space="preserve">PyTorch, scikit-learn, XGBoost, AWS SageMaker, MLflow, Numba, CuPy, RAPIDS</w:t>
      </w:r>
    </w:p>
    <w:p>
      <w:pPr>
        <w:spacing w:after="55"/>
      </w:pPr>
      <w:r>
        <w:rPr>
          <w:rFonts w:ascii="Helvetica Neue" w:cs="Helvetica Neue" w:eastAsia="Helvetica Neue" w:hAnsi="Helvetica Neue"/>
          <w:b/>
          <w:bCs/>
          <w:color w:val="C62828"/>
          <w:sz w:val="17"/>
          <w:szCs w:val="17"/>
        </w:rPr>
        <w:t xml:space="preserve">Devops: </w:t>
      </w:r>
      <w:r>
        <w:rPr>
          <w:rFonts w:ascii="Helvetica Neue" w:cs="Helvetica Neue" w:eastAsia="Helvetica Neue" w:hAnsi="Helvetica Neue"/>
          <w:sz w:val="17"/>
          <w:szCs w:val="17"/>
        </w:rPr>
        <w:t xml:space="preserve">Kubernetes, Helm, Terraform, Jenkins, GitHub Actions, Ansible, DataDog, Prometheus, Grafana</w:t>
      </w:r>
    </w:p>
    <w:p>
      <w:pPr>
        <w:spacing w:after="55"/>
      </w:pPr>
      <w:r>
        <w:rPr>
          <w:rFonts w:ascii="Helvetica Neue" w:cs="Helvetica Neue" w:eastAsia="Helvetica Neue" w:hAnsi="Helvetica Neue"/>
          <w:b/>
          <w:bCs/>
          <w:color w:val="C62828"/>
          <w:sz w:val="17"/>
          <w:szCs w:val="17"/>
        </w:rPr>
        <w:t xml:space="preserve">Compliance: </w:t>
      </w:r>
      <w:r>
        <w:rPr>
          <w:rFonts w:ascii="Helvetica Neue" w:cs="Helvetica Neue" w:eastAsia="Helvetica Neue" w:hAnsi="Helvetica Neue"/>
          <w:sz w:val="17"/>
          <w:szCs w:val="17"/>
        </w:rPr>
        <w:t xml:space="preserve">FINRA CAT, SEC Rule 17a-4, MiFID II, CFTC Regulations, Basel III, FRTB, SOX, PCI-DSS</w:t>
      </w:r>
    </w:p>
    <w:p>
      <w:pPr>
        <w:spacing w:before="180" w:after="80"/>
      </w:pPr>
      <w:r>
        <w:rPr>
          <w:rFonts w:ascii="Helvetica Neue" w:cs="Helvetica Neue" w:eastAsia="Helvetica Neue" w:hAnsi="Helvetica Neue"/>
          <w:b/>
          <w:bCs/>
          <w:color w:val="C62828"/>
          <w:sz w:val="24"/>
          <w:szCs w:val="24"/>
        </w:rPr>
        <w:t xml:space="preserve">EXPERIENCE</w:t>
      </w:r>
      <w:r>
        <w:rPr>
          <w:rFonts w:ascii="Helvetica Neue" w:cs="Helvetica Neue" w:eastAsia="Helvetica Neue" w:hAnsi="Helvetica Neue"/>
          <w:color w:val="DDDDDD"/>
          <w:sz w:val="18"/>
          <w:szCs w:val="18"/>
        </w:rPr>
        <w:t xml:space="preserve">  ─────────────────────────────────</w:t>
      </w:r>
    </w:p>
    <w:p>
      <w:pPr>
        <w:spacing w:before="160" w:after="30"/>
      </w:pPr>
      <w:r>
        <w:rPr>
          <w:rFonts w:ascii="Helvetica Neue" w:cs="Helvetica Neue" w:eastAsia="Helvetica Neue" w:hAnsi="Helvetica Neue"/>
          <w:b/>
          <w:bCs/>
          <w:color w:val="111111"/>
          <w:sz w:val="21"/>
          <w:szCs w:val="21"/>
        </w:rPr>
        <w:t xml:space="preserve">Goldman Sachs</w:t>
      </w:r>
      <w:r>
        <w:rPr>
          <w:rFonts w:ascii="Helvetica Neue" w:cs="Helvetica Neue" w:eastAsia="Helvetica Neue" w:hAnsi="Helvetica Neue"/>
          <w:color w:val="C62828"/>
          <w:sz w:val="19"/>
          <w:szCs w:val="19"/>
        </w:rPr>
        <w:t xml:space="preserve">  ·  Staff Data Engineer</w:t>
      </w:r>
    </w:p>
    <w:p>
      <w:pPr>
        <w:spacing w:after="60"/>
      </w:pPr>
      <w:r>
        <w:rPr>
          <w:rFonts w:ascii="Helvetica Neue" w:cs="Helvetica Neue" w:eastAsia="Helvetica Neue" w:hAnsi="Helvetica Neue"/>
          <w:i/>
          <w:iCs/>
          <w:color w:val="777777"/>
          <w:sz w:val="16"/>
          <w:szCs w:val="16"/>
        </w:rPr>
        <w:t xml:space="preserve">February 2020 – Present  ·  New York, NY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Architected Goldman Sachs Equities real-time market data platform using kdb+ tick architecture and Apache Kafka MSK, processing 8.5B market events daily from 42 exchanges across 65 countries with microsecond-level timestamping and MiFID II RTS27 best execution compliance.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Designed ClickHouse OLAP cluster for Goldman Sachs trade analytics, processing 280M+ daily equity, options, and futures trades with sub-second query latency for risk managers, enabling real-time P&amp;L attribution and Greeks calculations across $2.3T book of business.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Led development of FINRA CAT (Consolidated Audit Trail) reporting platform, processing 45B+ daily order lifecycle events with exactly-once delivery guarantees, submitting regulatory reports to FINRA within 8-hour T+1 deadline with zero late submissions over 24 months.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Built real-time risk calculation engine using Apache Flink, Python, and AWS EKS, computing VaR, CVaR, and stress test scenarios across Goldman's equity portfolio every 60 seconds with 99.999% availability, replacing batch overnight risk processes.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Engineered ultra-low-latency order flow analytics platform using Chronicle Queue and Aeron IPC, achieving 2-microsecond P99 latency for order-to-execution event sequencing, enabling Goldman Sachs Market Making desk to optimize execution quality metrics.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Implemented historical tick data archive using Apache Iceberg on AWS S3 with kdb+ gateway, managing 840TB of time-series market data with point-in-time query support for backtesting quant strategies and regulatory reconstruction requests.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Developed automated market surveillance data pipeline using Apache Kafka and Flink, detecting 47 market manipulation patterns (spoofing, layering, wash trading) in real-time across 12 equity markets with SEC 10b-5 compliant evidence preservation workflows.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Built Goldman Sachs Marcus (consumer bank) transaction analytics platform on AWS Redshift and Databricks, processing 2.8M daily consumer transactions with real-time fraud scoring using AWS SageMaker and automated CFPB regulatory reporting.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Designed Kubernetes-based microservices platform for Goldman Sachs data APIs, serving 4,500+ internal quant researchers and 120 external prime brokerage clients with 99.99% SLA, handling 22M daily API requests with sub-10ms P99 latency.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Implemented comprehensive DataDog observability framework for Goldman Sachs data infrastructure, creating 1,200+ custom metrics, 85 dashboards, and automated PagerDuty escalations for production trading systems, reducing MTTR from 47 minutes to 8 minutes.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Led migration of legacy kdb+ tick plant to cloud-native Kafka MSK + Flink + ClickHouse architecture on AWS, maintaining zero-downtime through blue-green deployment strategy and achieving 60% infrastructure cost reduction.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Environment: kdb+/q, Apache Kafka MSK, Apache Flink, ClickHouse, Kubernetes, Terraform, Python, Java, C++, AWS EC2/ECS/EKS/S3, DataDog, Prometheus, Grafana, Chronicle Queue, Aeron, Apache Iceberg, Databricks</w:t>
      </w:r>
    </w:p>
    <w:p>
      <w:pPr>
        <w:spacing w:after="60"/>
      </w:pPr>
    </w:p>
    <w:p>
      <w:pPr>
        <w:spacing w:before="160" w:after="30"/>
      </w:pPr>
      <w:r>
        <w:rPr>
          <w:rFonts w:ascii="Helvetica Neue" w:cs="Helvetica Neue" w:eastAsia="Helvetica Neue" w:hAnsi="Helvetica Neue"/>
          <w:b/>
          <w:bCs/>
          <w:color w:val="111111"/>
          <w:sz w:val="21"/>
          <w:szCs w:val="21"/>
        </w:rPr>
        <w:t xml:space="preserve">Bloomberg LP</w:t>
      </w:r>
      <w:r>
        <w:rPr>
          <w:rFonts w:ascii="Helvetica Neue" w:cs="Helvetica Neue" w:eastAsia="Helvetica Neue" w:hAnsi="Helvetica Neue"/>
          <w:color w:val="C62828"/>
          <w:sz w:val="19"/>
          <w:szCs w:val="19"/>
        </w:rPr>
        <w:t xml:space="preserve">  ·  Senior Data Engineer</w:t>
      </w:r>
    </w:p>
    <w:p>
      <w:pPr>
        <w:spacing w:after="60"/>
      </w:pPr>
      <w:r>
        <w:rPr>
          <w:rFonts w:ascii="Helvetica Neue" w:cs="Helvetica Neue" w:eastAsia="Helvetica Neue" w:hAnsi="Helvetica Neue"/>
          <w:i/>
          <w:iCs/>
          <w:color w:val="777777"/>
          <w:sz w:val="16"/>
          <w:szCs w:val="16"/>
        </w:rPr>
        <w:t xml:space="preserve">March 2015 – January 2020  ·  New York, NY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Built Bloomberg Terminal real-time data normalization platform processing 28M+ financial instrument updates per second from 560 data vendors across 350,000+ securities identifiers (ISIN, CUSIP, SEDOL, Bloomberg FIGI), ensuring BDP and BDH data quality SLAs.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Designed Bloomberg ESG (Environmental, Social, Governance) data pipeline ingesting sustainability metrics from 20+ providers including MSCI ESG, Sustainalytics, and CDP, processing 8,000+ ESG data points per company across 15,000+ globally covered issuers.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Architected Bloomberg PORT risk analytics data feed system using Apache Kafka and Spark Streaming, delivering real-time portfolio risk metrics to 500,000+ Bloomberg Professional subscribers with P99 latency under 500ms and 99.95% daily uptime.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Implemented automated corporate actions processing pipeline handling dividends, stock splits, rights offerings, and mergers across 80,000+ global securities, reducing manual processing effort by 90% through ML-based document parsing and entity extraction.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Led Bloomberg Regulation Technology data platform serving MiFID II trade reporting to ESMA, EMIR derivative reporting to 6 EU trade repositories, and SEC EDGAR XBRL filing processing for 12,000+ public companies.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Environment: Apache Kafka, Apache Spark, Python, Java, kdb+/q, PostgreSQL, Cassandra, AWS EC2/S3, Docker, Bloomberg B-PIPE API</w:t>
      </w:r>
    </w:p>
    <w:p>
      <w:pPr>
        <w:spacing w:after="60"/>
      </w:pPr>
    </w:p>
    <w:p>
      <w:pPr>
        <w:spacing w:before="160" w:after="30"/>
      </w:pPr>
      <w:r>
        <w:rPr>
          <w:rFonts w:ascii="Helvetica Neue" w:cs="Helvetica Neue" w:eastAsia="Helvetica Neue" w:hAnsi="Helvetica Neue"/>
          <w:b/>
          <w:bCs/>
          <w:color w:val="111111"/>
          <w:sz w:val="21"/>
          <w:szCs w:val="21"/>
        </w:rPr>
        <w:t xml:space="preserve">Citadel Securities</w:t>
      </w:r>
      <w:r>
        <w:rPr>
          <w:rFonts w:ascii="Helvetica Neue" w:cs="Helvetica Neue" w:eastAsia="Helvetica Neue" w:hAnsi="Helvetica Neue"/>
          <w:color w:val="C62828"/>
          <w:sz w:val="19"/>
          <w:szCs w:val="19"/>
        </w:rPr>
        <w:t xml:space="preserve">  ·  Data Engineer</w:t>
      </w:r>
    </w:p>
    <w:p>
      <w:pPr>
        <w:spacing w:after="60"/>
      </w:pPr>
      <w:r>
        <w:rPr>
          <w:rFonts w:ascii="Helvetica Neue" w:cs="Helvetica Neue" w:eastAsia="Helvetica Neue" w:hAnsi="Helvetica Neue"/>
          <w:i/>
          <w:iCs/>
          <w:color w:val="777777"/>
          <w:sz w:val="16"/>
          <w:szCs w:val="16"/>
        </w:rPr>
        <w:t xml:space="preserve">August 2012 – February 2015  ·  Chicago, IL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Built market making data infrastructure for Citadel Securities processing real-time order flow from NYSE, NASDAQ, BATS, and IEX, supporting $27B average daily equity trading volume with microsecond-precision execution analytics.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Developed kdb+ tick database schema and query optimization for high-frequency trading analytics, achieving 50,000 queries/second sustained throughput for intraday position and P&amp;L calculations across 8,000+ traded symbols.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Helvetica Neue" w:cs="Helvetica Neue" w:eastAsia="Helvetica Neue" w:hAnsi="Helvetica Neue"/>
          <w:sz w:val="17"/>
          <w:szCs w:val="17"/>
        </w:rPr>
        <w:t xml:space="preserve">Environment: kdb+/q, C++, Python, Apache Kafka, Redis, Hadoop, Apache Hive, Oracle</w:t>
      </w:r>
    </w:p>
    <w:p>
      <w:pPr>
        <w:spacing w:after="60"/>
      </w:pPr>
    </w:p>
    <w:p>
      <w:pPr>
        <w:spacing w:before="180" w:after="80"/>
      </w:pPr>
      <w:r>
        <w:rPr>
          <w:rFonts w:ascii="Helvetica Neue" w:cs="Helvetica Neue" w:eastAsia="Helvetica Neue" w:hAnsi="Helvetica Neue"/>
          <w:b/>
          <w:bCs/>
          <w:color w:val="C62828"/>
          <w:sz w:val="24"/>
          <w:szCs w:val="24"/>
        </w:rPr>
        <w:t xml:space="preserve">EDUCATION</w:t>
      </w:r>
      <w:r>
        <w:rPr>
          <w:rFonts w:ascii="Helvetica Neue" w:cs="Helvetica Neue" w:eastAsia="Helvetica Neue" w:hAnsi="Helvetica Neue"/>
          <w:color w:val="DDDDDD"/>
          <w:sz w:val="18"/>
          <w:szCs w:val="18"/>
        </w:rPr>
        <w:t xml:space="preserve">  ─────────────────────────────────</w:t>
      </w:r>
    </w:p>
    <w:p>
      <w:pPr>
        <w:spacing w:after="60"/>
      </w:pPr>
      <w:r>
        <w:rPr>
          <w:rFonts w:ascii="Helvetica Neue" w:cs="Helvetica Neue" w:eastAsia="Helvetica Neue" w:hAnsi="Helvetica Neue"/>
          <w:sz w:val="18"/>
          <w:szCs w:val="18"/>
        </w:rPr>
        <w:t xml:space="preserve">M.S. Financial Engineering | Columbia University | 2010–2012</w:t>
      </w:r>
    </w:p>
    <w:p>
      <w:pPr>
        <w:spacing w:after="60"/>
      </w:pPr>
      <w:r>
        <w:rPr>
          <w:rFonts w:ascii="Helvetica Neue" w:cs="Helvetica Neue" w:eastAsia="Helvetica Neue" w:hAnsi="Helvetica Neue"/>
          <w:sz w:val="18"/>
          <w:szCs w:val="18"/>
        </w:rPr>
        <w:t xml:space="preserve">B.S. Computer Science | Carnegie Mellon University | 2006–2010</w:t>
      </w:r>
    </w:p>
    <w:p>
      <w:pPr>
        <w:spacing w:before="180" w:after="80"/>
      </w:pPr>
      <w:r>
        <w:rPr>
          <w:rFonts w:ascii="Helvetica Neue" w:cs="Helvetica Neue" w:eastAsia="Helvetica Neue" w:hAnsi="Helvetica Neue"/>
          <w:b/>
          <w:bCs/>
          <w:color w:val="C62828"/>
          <w:sz w:val="24"/>
          <w:szCs w:val="24"/>
        </w:rPr>
        <w:t xml:space="preserve">CERTIFICATIONS</w:t>
      </w:r>
      <w:r>
        <w:rPr>
          <w:rFonts w:ascii="Helvetica Neue" w:cs="Helvetica Neue" w:eastAsia="Helvetica Neue" w:hAnsi="Helvetica Neue"/>
          <w:color w:val="DDDDDD"/>
          <w:sz w:val="18"/>
          <w:szCs w:val="18"/>
        </w:rPr>
        <w:t xml:space="preserve">  ─────────────────────────────────</w:t>
      </w:r>
    </w:p>
    <w:p>
      <w:r>
        <w:rPr>
          <w:rFonts w:ascii="Helvetica Neue" w:cs="Helvetica Neue" w:eastAsia="Helvetica Neue" w:hAnsi="Helvetica Neue"/>
          <w:sz w:val="17"/>
          <w:szCs w:val="17"/>
        </w:rPr>
        <w:t xml:space="preserve">CFA Level II | AWS Certified Solutions Architect | Confluent Certified Developer | Certified Kubernetes Administrator (CKA)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2026-03-13T10:53:05.244Z</dcterms:created>
  <dcterms:modified xsi:type="dcterms:W3CDTF">2026-03-13T10:53:05.244Z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