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5C3A1E"/>
          <w:sz w:val="48"/>
          <w:szCs w:val="48"/>
        </w:rPr>
        <w:t xml:space="preserve">NATASHA IFEOMA WILLIAMS</w:t>
      </w:r>
    </w:p>
    <w:p>
      <w:pPr>
        <w:spacing w:before="0" w:after="50"/>
        <w:jc w:val="center"/>
      </w:pPr>
      <w:r>
        <w:rPr>
          <w:rFonts w:ascii="Arial" w:cs="Arial" w:eastAsia="Arial" w:hAnsi="Arial"/>
          <w:i/>
          <w:iCs/>
          <w:color w:val="8B5E3C"/>
          <w:sz w:val="24"/>
          <w:szCs w:val="24"/>
        </w:rPr>
        <w:t xml:space="preserve">QA Automation Lead | Investment Banking | FIX Protocol | Trade Lifecycle Testing</w:t>
      </w:r>
    </w:p>
    <w:p>
      <w:pPr>
        <w:spacing w:before="0" w:after="40"/>
        <w:jc w:val="center"/>
      </w:pPr>
      <w:r>
        <w:rPr>
          <w:rFonts w:ascii="Arial" w:cs="Arial" w:eastAsia="Arial" w:hAnsi="Arial"/>
          <w:color w:val="333333"/>
          <w:sz w:val="20"/>
          <w:szCs w:val="20"/>
        </w:rPr>
        <w:t xml:space="preserve">📧 natasha.i.williams.qa@hotmail.com   |   📞 +1 (917) 443-2201   |   📍 New York, NY</w:t>
      </w:r>
    </w:p>
    <w:p>
      <w:pPr>
        <w:spacing w:before="0" w:after="40"/>
        <w:jc w:val="center"/>
      </w:pPr>
      <w:r>
        <w:rPr>
          <w:rFonts w:ascii="Arial" w:cs="Arial" w:eastAsia="Arial" w:hAnsi="Arial"/>
          <w:color w:val="333333"/>
          <w:sz w:val="20"/>
          <w:szCs w:val="20"/>
        </w:rPr>
        <w:t xml:space="preserve">🔗 linkedin.com/in/natashawilliams-qa   |   💻 github.com/natashaqatech   |   Years of Experience: 12+</w:t>
      </w:r>
    </w:p>
    <w:p>
      <w:pPr>
        <w:pBdr>
          <w:bottom w:val="single" w:color="5C3A1E" w:sz="10" w:space="1"/>
        </w:pBdr>
        <w:spacing w:before="80" w:after="60"/>
      </w:pPr>
      <w:r>
        <w:t xml:space="preserve"/>
      </w:r>
    </w:p>
    <w:p>
      <w:pPr>
        <w:pBdr>
          <w:bottom w:val="single" w:color="5C3A1E" w:sz="8" w:space="1"/>
        </w:pBdr>
        <w:spacing w:before="220" w:after="80"/>
      </w:pPr>
      <w:r>
        <w:rPr>
          <w:rFonts w:ascii="Arial" w:cs="Arial" w:eastAsia="Arial" w:hAnsi="Arial"/>
          <w:b/>
          <w:bCs/>
          <w:color w:val="5C3A1E"/>
          <w:sz w:val="26"/>
          <w:szCs w:val="26"/>
        </w:rPr>
        <w:t xml:space="preserve">PROFESSIONAL SUMMARY</w:t>
      </w:r>
    </w:p>
    <w:p>
      <w:pPr>
        <w:spacing w:before="40" w:after="40"/>
      </w:pPr>
      <w:r>
        <w:rPr>
          <w:rFonts w:ascii="Arial" w:cs="Arial" w:eastAsia="Arial" w:hAnsi="Arial"/>
          <w:sz w:val="20"/>
          <w:szCs w:val="20"/>
        </w:rPr>
        <w:t xml:space="preserve">Distinguished QA Automation Lead with 12+ years of specialized expertise in investment banking, capital markets, and wealth management technology. Deep domain knowledge across trade life cycle testing, FIX/FAST protocol automation, regulatory reporting validation, and risk management system quality engineering at Goldman Sachs, Deutsche Bank, and Merrill Lynch.</w:t>
      </w:r>
    </w:p>
    <w:p>
      <w:pPr>
        <w:spacing w:before="40" w:after="40"/>
      </w:pPr>
      <w:r>
        <w:rPr>
          <w:rFonts w:ascii="Arial" w:cs="Arial" w:eastAsia="Arial" w:hAnsi="Arial"/>
          <w:sz w:val="20"/>
          <w:szCs w:val="20"/>
        </w:rPr>
        <w:t xml:space="preserve">Recognized subject matter expert in financial technology testing with rare combination of capital markets domain knowledge and advanced automation engineering skills. Proficient in FIX engine automation, SWIFT MT/MX message testing, exchange connectivity validation, and real-time risk calculation system quality assurance. Expert practitioner of Selenium Java, TestNG, and complex SQL-based financial data reconciliation.</w:t>
      </w:r>
    </w:p>
    <w:p>
      <w:pPr>
        <w:spacing w:before="40" w:after="40"/>
      </w:pPr>
      <w:r>
        <w:rPr>
          <w:rFonts w:ascii="Arial" w:cs="Arial" w:eastAsia="Arial" w:hAnsi="Arial"/>
          <w:sz w:val="20"/>
          <w:szCs w:val="20"/>
        </w:rPr>
        <w:t xml:space="preserve">Proven track record in highly regulated financial environments requiring deep knowledge of Dodd-Frank OTC reporting, MiFID II transaction reporting, Basel III capital calculations, and FATCA/CRS tax compliance testing. Led reduction of UAT cycle from 3 weeks to 4 days through systematic automation of financial workflow validation.</w:t>
      </w:r>
    </w:p>
    <w:p>
      <w:pPr>
        <w:spacing w:before="40" w:after="40"/>
      </w:pPr>
      <w:r>
        <w:rPr>
          <w:rFonts w:ascii="Arial" w:cs="Arial" w:eastAsia="Arial" w:hAnsi="Arial"/>
          <w:sz w:val="20"/>
          <w:szCs w:val="20"/>
        </w:rPr>
        <w:t xml:space="preserve">Strong people leader who has built and mentored specialized financial QA teams, established automation practices in environments where manual testing was previously dominant, and successfully advocated for quality engineering investment to trading technology leadership teams.</w:t>
      </w:r>
    </w:p>
    <w:p>
      <w:pPr>
        <w:spacing w:before="40" w:after="40"/>
      </w:pPr>
      <w:r>
        <w:rPr>
          <w:rFonts w:ascii="Arial" w:cs="Arial" w:eastAsia="Arial" w:hAnsi="Arial"/>
          <w:sz w:val="20"/>
          <w:szCs w:val="20"/>
        </w:rPr>
        <w:t xml:space="preserve">Active member of financial technology testing community, presenting at FinTech testing forums on the unique challenges of quality engineering in regulated capital markets environments. Passionate about expanding diversity in financial technology quality engineering through mentorship and community building.</w:t>
      </w:r>
    </w:p>
    <w:p>
      <w:pPr>
        <w:pBdr>
          <w:bottom w:val="single" w:color="5C3A1E" w:sz="8" w:space="1"/>
        </w:pBdr>
        <w:spacing w:before="220" w:after="80"/>
      </w:pPr>
      <w:r>
        <w:rPr>
          <w:rFonts w:ascii="Arial" w:cs="Arial" w:eastAsia="Arial" w:hAnsi="Arial"/>
          <w:b/>
          <w:bCs/>
          <w:color w:val="5C3A1E"/>
          <w:sz w:val="26"/>
          <w:szCs w:val="26"/>
        </w:rPr>
        <w:t xml:space="preserve">CORE COMPETENCIES &amp; TECHNICAL SKILLS</w:t>
      </w:r>
    </w:p>
    <w:p>
      <w:pPr>
        <w:spacing w:before="40" w:after="40"/>
      </w:pPr>
      <w:r>
        <w:rPr>
          <w:rFonts w:ascii="Arial" w:cs="Arial" w:eastAsia="Arial" w:hAnsi="Arial"/>
          <w:b/>
          <w:bCs/>
          <w:color w:val="5C3A1E"/>
          <w:sz w:val="20"/>
          <w:szCs w:val="20"/>
        </w:rPr>
        <w:t xml:space="preserve">Financial Domain: </w:t>
      </w:r>
      <w:r>
        <w:rPr>
          <w:rFonts w:ascii="Arial" w:cs="Arial" w:eastAsia="Arial" w:hAnsi="Arial"/>
          <w:sz w:val="20"/>
          <w:szCs w:val="20"/>
        </w:rPr>
        <w:t xml:space="preserve">Trade Life Cycle (OMS, EMS, PMS), FIX Protocol (4.2/4.4/5.0), FAST Protocol, SWIFT MT Messages (103, 202, 300, 540-543), Market Data (Reuters, Bloomberg), Regulatory Reporting (MiFID II, Dodd-Frank, EMIR, FATCA, CRS, Basel III), Corporate Actions, Derivatives (OTC, Listed)</w:t>
      </w:r>
    </w:p>
    <w:p>
      <w:pPr>
        <w:spacing w:before="40" w:after="40"/>
      </w:pPr>
      <w:r>
        <w:rPr>
          <w:rFonts w:ascii="Arial" w:cs="Arial" w:eastAsia="Arial" w:hAnsi="Arial"/>
          <w:b/>
          <w:bCs/>
          <w:color w:val="5C3A1E"/>
          <w:sz w:val="20"/>
          <w:szCs w:val="20"/>
        </w:rPr>
        <w:t xml:space="preserve">UI Test Automation: </w:t>
      </w:r>
      <w:r>
        <w:rPr>
          <w:rFonts w:ascii="Arial" w:cs="Arial" w:eastAsia="Arial" w:hAnsi="Arial"/>
          <w:sz w:val="20"/>
          <w:szCs w:val="20"/>
        </w:rPr>
        <w:t xml:space="preserve">Selenium WebDriver 4.x, TestNG 7.x, Hybrid Framework, Page Object Model, Sikuli (Image Recognition), Java Swing Automation</w:t>
      </w:r>
    </w:p>
    <w:p>
      <w:pPr>
        <w:spacing w:before="40" w:after="40"/>
      </w:pPr>
      <w:r>
        <w:rPr>
          <w:rFonts w:ascii="Arial" w:cs="Arial" w:eastAsia="Arial" w:hAnsi="Arial"/>
          <w:b/>
          <w:bCs/>
          <w:color w:val="5C3A1E"/>
          <w:sz w:val="20"/>
          <w:szCs w:val="20"/>
        </w:rPr>
        <w:t xml:space="preserve">API &amp; Protocol Testing: </w:t>
      </w:r>
      <w:r>
        <w:rPr>
          <w:rFonts w:ascii="Arial" w:cs="Arial" w:eastAsia="Arial" w:hAnsi="Arial"/>
          <w:sz w:val="20"/>
          <w:szCs w:val="20"/>
        </w:rPr>
        <w:t xml:space="preserve">Rest Assured, SoapUI, FIX Engine Testing (QuickFIX/J), SWIFT Alliance Testing, Postman, MQ Testing (IBM MQ, RabbitMQ)</w:t>
      </w:r>
    </w:p>
    <w:p>
      <w:pPr>
        <w:spacing w:before="40" w:after="40"/>
      </w:pPr>
      <w:r>
        <w:rPr>
          <w:rFonts w:ascii="Arial" w:cs="Arial" w:eastAsia="Arial" w:hAnsi="Arial"/>
          <w:b/>
          <w:bCs/>
          <w:color w:val="5C3A1E"/>
          <w:sz w:val="20"/>
          <w:szCs w:val="20"/>
        </w:rPr>
        <w:t xml:space="preserve">Programming Languages: </w:t>
      </w:r>
      <w:r>
        <w:rPr>
          <w:rFonts w:ascii="Arial" w:cs="Arial" w:eastAsia="Arial" w:hAnsi="Arial"/>
          <w:sz w:val="20"/>
          <w:szCs w:val="20"/>
        </w:rPr>
        <w:t xml:space="preserve">Java 17, Python 3.x, SQL (Advanced: Oracle, Sybase, DB2, SQL Server), PL/SQL, VBA (Excel Automation), Groovy</w:t>
      </w:r>
    </w:p>
    <w:p>
      <w:pPr>
        <w:spacing w:before="40" w:after="40"/>
      </w:pPr>
      <w:r>
        <w:rPr>
          <w:rFonts w:ascii="Arial" w:cs="Arial" w:eastAsia="Arial" w:hAnsi="Arial"/>
          <w:b/>
          <w:bCs/>
          <w:color w:val="5C3A1E"/>
          <w:sz w:val="20"/>
          <w:szCs w:val="20"/>
        </w:rPr>
        <w:t xml:space="preserve">Database &amp; Data Validation: </w:t>
      </w:r>
      <w:r>
        <w:rPr>
          <w:rFonts w:ascii="Arial" w:cs="Arial" w:eastAsia="Arial" w:hAnsi="Arial"/>
          <w:sz w:val="20"/>
          <w:szCs w:val="20"/>
        </w:rPr>
        <w:t xml:space="preserve">Oracle 19c, Sybase IQ/ASE, IBM DB2, Microsoft SQL Server, Teradata, Complex Reconciliation Queries, Stored Procedure Validation</w:t>
      </w:r>
    </w:p>
    <w:p>
      <w:pPr>
        <w:spacing w:before="40" w:after="40"/>
      </w:pPr>
      <w:r>
        <w:rPr>
          <w:rFonts w:ascii="Arial" w:cs="Arial" w:eastAsia="Arial" w:hAnsi="Arial"/>
          <w:b/>
          <w:bCs/>
          <w:color w:val="5C3A1E"/>
          <w:sz w:val="20"/>
          <w:szCs w:val="20"/>
        </w:rPr>
        <w:t xml:space="preserve">Performance Testing: </w:t>
      </w:r>
      <w:r>
        <w:rPr>
          <w:rFonts w:ascii="Arial" w:cs="Arial" w:eastAsia="Arial" w:hAnsi="Arial"/>
          <w:sz w:val="20"/>
          <w:szCs w:val="20"/>
        </w:rPr>
        <w:t xml:space="preserve">HP LoadRunner Enterprise, Apache JMeter 5.x, Rational Performance Tester, Market Data Feed Performance</w:t>
      </w:r>
    </w:p>
    <w:p>
      <w:pPr>
        <w:spacing w:before="40" w:after="40"/>
      </w:pPr>
      <w:r>
        <w:rPr>
          <w:rFonts w:ascii="Arial" w:cs="Arial" w:eastAsia="Arial" w:hAnsi="Arial"/>
          <w:b/>
          <w:bCs/>
          <w:color w:val="5C3A1E"/>
          <w:sz w:val="20"/>
          <w:szCs w:val="20"/>
        </w:rPr>
        <w:t xml:space="preserve">CI/CD &amp; DevOps: </w:t>
      </w:r>
      <w:r>
        <w:rPr>
          <w:rFonts w:ascii="Arial" w:cs="Arial" w:eastAsia="Arial" w:hAnsi="Arial"/>
          <w:sz w:val="20"/>
          <w:szCs w:val="20"/>
        </w:rPr>
        <w:t xml:space="preserve">Jenkins (Declarative + Scripted Pipelines), Bamboo, IBM UrbanCode Deploy, Git, Maven, Gradle, IBM DevOps</w:t>
      </w:r>
    </w:p>
    <w:p>
      <w:pPr>
        <w:spacing w:before="40" w:after="40"/>
      </w:pPr>
      <w:r>
        <w:rPr>
          <w:rFonts w:ascii="Arial" w:cs="Arial" w:eastAsia="Arial" w:hAnsi="Arial"/>
          <w:b/>
          <w:bCs/>
          <w:color w:val="5C3A1E"/>
          <w:sz w:val="20"/>
          <w:szCs w:val="20"/>
        </w:rPr>
        <w:t xml:space="preserve">Monitoring &amp; Reporting: </w:t>
      </w:r>
      <w:r>
        <w:rPr>
          <w:rFonts w:ascii="Arial" w:cs="Arial" w:eastAsia="Arial" w:hAnsi="Arial"/>
          <w:sz w:val="20"/>
          <w:szCs w:val="20"/>
        </w:rPr>
        <w:t xml:space="preserve">Splunk (SPL Queries), IBM MQ Monitor, Dynatrace, Allure Reports, Bloomberg AIM Monitoring</w:t>
      </w:r>
    </w:p>
    <w:p>
      <w:pPr>
        <w:spacing w:before="40" w:after="40"/>
      </w:pPr>
      <w:r>
        <w:rPr>
          <w:rFonts w:ascii="Arial" w:cs="Arial" w:eastAsia="Arial" w:hAnsi="Arial"/>
          <w:b/>
          <w:bCs/>
          <w:color w:val="5C3A1E"/>
          <w:sz w:val="20"/>
          <w:szCs w:val="20"/>
        </w:rPr>
        <w:t xml:space="preserve">Test Management: </w:t>
      </w:r>
      <w:r>
        <w:rPr>
          <w:rFonts w:ascii="Arial" w:cs="Arial" w:eastAsia="Arial" w:hAnsi="Arial"/>
          <w:sz w:val="20"/>
          <w:szCs w:val="20"/>
        </w:rPr>
        <w:t xml:space="preserve">HP ALM Quality Center 12.x, JIRA (Zephyr), Confluence, TestRail, RQM (IBM Rational)</w:t>
      </w:r>
    </w:p>
    <w:p>
      <w:pPr>
        <w:pBdr>
          <w:bottom w:val="single" w:color="5C3A1E" w:sz="8" w:space="1"/>
        </w:pBdr>
        <w:spacing w:before="220" w:after="80"/>
      </w:pPr>
      <w:r>
        <w:rPr>
          <w:rFonts w:ascii="Arial" w:cs="Arial" w:eastAsia="Arial" w:hAnsi="Arial"/>
          <w:b/>
          <w:bCs/>
          <w:color w:val="5C3A1E"/>
          <w:sz w:val="26"/>
          <w:szCs w:val="26"/>
        </w:rPr>
        <w:t xml:space="preserve">PROFESSIONAL EXPERIENCE</w:t>
      </w:r>
    </w:p>
    <w:p>
      <w:pPr>
        <w:spacing w:before="180" w:after="20"/>
      </w:pPr>
      <w:r>
        <w:rPr>
          <w:rFonts w:ascii="Arial" w:cs="Arial" w:eastAsia="Arial" w:hAnsi="Arial"/>
          <w:b/>
          <w:bCs/>
          <w:color w:val="5C3A1E"/>
          <w:sz w:val="25"/>
          <w:szCs w:val="25"/>
        </w:rPr>
        <w:t xml:space="preserve">Goldman Sachs</w:t>
      </w:r>
      <w:r>
        <w:rPr>
          <w:rFonts w:ascii="Arial" w:cs="Arial" w:eastAsia="Arial" w:hAnsi="Arial"/>
          <w:color w:val="555555"/>
          <w:sz w:val="20"/>
          <w:szCs w:val="20"/>
        </w:rPr>
        <w:t xml:space="preserve">   —   New York, NY</w:t>
      </w:r>
    </w:p>
    <w:p>
      <w:pPr>
        <w:spacing w:before="10" w:after="20"/>
      </w:pPr>
      <w:r>
        <w:rPr>
          <w:rFonts w:ascii="Arial" w:cs="Arial" w:eastAsia="Arial" w:hAnsi="Arial"/>
          <w:b/>
          <w:bCs/>
          <w:color w:val="8B5E3C"/>
          <w:sz w:val="22"/>
          <w:szCs w:val="22"/>
        </w:rPr>
        <w:t xml:space="preserve">QA Automation Lead – Marquee Trading Platform</w:t>
      </w:r>
      <w:r>
        <w:rPr>
          <w:rFonts w:ascii="Arial" w:cs="Arial" w:eastAsia="Arial" w:hAnsi="Arial"/>
          <w:i/>
          <w:iCs/>
          <w:color w:val="666666"/>
          <w:sz w:val="20"/>
          <w:szCs w:val="20"/>
        </w:rPr>
        <w:t xml:space="preserve">   |   Feb 2019 – Present</w:t>
      </w:r>
    </w:p>
    <w:p>
      <w:pPr>
        <w:spacing w:before="0" w:after="30"/>
      </w:pPr>
      <w:r>
        <w:t xml:space="preserve"/>
      </w:r>
    </w:p>
    <w:p>
      <w:pPr>
        <w:spacing w:before="40" w:after="40"/>
      </w:pPr>
      <w:r>
        <w:rPr>
          <w:rFonts w:ascii="Arial" w:cs="Arial" w:eastAsia="Arial" w:hAnsi="Arial"/>
          <w:sz w:val="20"/>
          <w:szCs w:val="20"/>
        </w:rPr>
        <w:t xml:space="preserve">QA Automation Lead for Goldman Sachs Marquee, the firm's flagship institutional trading platform serving hedge funds, asset managers, and institutional clients managing $1.5T+ in assets under management. Responsible for test automation strategy covering order management, execution, risk, and portfolio management systems.</w:t>
      </w:r>
    </w:p>
    <w:p>
      <w:pPr>
        <w:spacing w:before="0" w:after="20"/>
      </w:pPr>
      <w:r>
        <w:t xml:space="preserve"/>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Led automation strategy for Marquee platform covering order entry, routing, execution, settlement, and post-trade lifecycle across equities, fixed income, FX, and derivatives asset classes.</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Designed QuickFIX/J-based FIX protocol automated testing framework validating 45 FIX message types across NewOrderSingle, OrderCancelRequest, ExecutionReport, and TradeCaptureReport flows.</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Built automated trade life cycle validation suite testing front-to-back trade flow from client order entry through broker execution to prime broker settlement and fund accounting reconciliation.</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Implemented automated MiFID II transaction reporting validation for ESMA trade repository submissions covering 340+ reportable fields per transaction.</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Designed Dodd-Frank SDR (Swap Data Repository) reporting automation validating OTC derivative trade reports to DTCC GTR and Bloomberg BSDR.</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Built automated P&amp;L attribution validation comparing real-time risk system P&amp;L to end-of-day accounting ledger, identifying discrepancies exceeding $50K threshold.</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Automated SWIFT MT103, MT202, MT202COV, MT540, MT541, MT542, MT543 message validation for securities settlement and cash payment operations.</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Implemented automated cross-currency FX conversion testing for multi-currency portfolio positions validating spot rate application, forward rate pricing, and hedging effectiveness.</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Designed automated algorithmic trading strategy validation framework testing VWAP, TWAP, Implementation Shortfall, and DMA order routing strategies.</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Built automated regulatory capital (Basel III RWA) calculation validation comparing trading book risk calculations against standardized approach benchmarks.</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Implemented Splunk SPL query-based automated audit trail validation ensuring complete and immutable trade record keeping for regulatory examination.</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Designed automated dark pool and exchange connectivity testing validating order routing to NYSE, NASDAQ, BATS, CBOE, and 12 dark venue destinations.</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Reduced UAT cycle from 3 weeks to 4 days enabling monthly Marquee platform releases vs. previous quarterly schedule.</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Led 7-member QA automation team including 4 QA engineers and 3 automation specialists across New York and Bangalore offices.</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Built automated corporate actions (dividends, splits, mergers, rights issues) validation framework testing correct position adjustments in portfolio management system.</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Implemented automated short interest and regulatory reporting validation for SEC Form 13F, 13G, and 13H institutional investment manager filings.</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Designed automated stress testing validation for VaR (Value at Risk) models under historical scenarios including 2008 financial crisis, COVID-19 volatility, and custom stress scenarios.</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Built automated reference data quality tests validating security master, counterparty master, and legal entity data accuracy across 12 source systems.</w:t>
      </w:r>
    </w:p>
    <w:p>
      <w:pPr>
        <w:spacing w:before="60" w:after="40"/>
      </w:pPr>
      <w:r>
        <w:rPr>
          <w:rFonts w:ascii="Arial" w:cs="Arial" w:eastAsia="Arial" w:hAnsi="Arial"/>
          <w:b/>
          <w:bCs/>
          <w:color w:val="5C3A1E"/>
          <w:sz w:val="19"/>
          <w:szCs w:val="19"/>
        </w:rPr>
        <w:t xml:space="preserve">Environment: </w:t>
      </w:r>
      <w:r>
        <w:rPr>
          <w:rFonts w:ascii="Arial" w:cs="Arial" w:eastAsia="Arial" w:hAnsi="Arial"/>
          <w:i/>
          <w:iCs/>
          <w:color w:val="555555"/>
          <w:sz w:val="19"/>
          <w:szCs w:val="19"/>
        </w:rPr>
        <w:t xml:space="preserve">Selenium WebDriver, Java, TestNG, QuickFIX/J, Rest Assured, Oracle, Sybase, IBM DB2, Jenkins, Splunk, HP ALM, Dynatrace</w:t>
      </w:r>
    </w:p>
    <w:p>
      <w:pPr>
        <w:pBdr>
          <w:bottom w:val="single" w:color="CCCCCC" w:sz="10" w:space="1"/>
        </w:pBdr>
        <w:spacing w:before="80" w:after="60"/>
      </w:pPr>
      <w:r>
        <w:t xml:space="preserve"/>
      </w:r>
    </w:p>
    <w:p>
      <w:pPr>
        <w:spacing w:before="180" w:after="20"/>
      </w:pPr>
      <w:r>
        <w:rPr>
          <w:rFonts w:ascii="Arial" w:cs="Arial" w:eastAsia="Arial" w:hAnsi="Arial"/>
          <w:b/>
          <w:bCs/>
          <w:color w:val="5C3A1E"/>
          <w:sz w:val="25"/>
          <w:szCs w:val="25"/>
        </w:rPr>
        <w:t xml:space="preserve">Deutsche Bank AG</w:t>
      </w:r>
      <w:r>
        <w:rPr>
          <w:rFonts w:ascii="Arial" w:cs="Arial" w:eastAsia="Arial" w:hAnsi="Arial"/>
          <w:color w:val="555555"/>
          <w:sz w:val="20"/>
          <w:szCs w:val="20"/>
        </w:rPr>
        <w:t xml:space="preserve">   —   New York, NY</w:t>
      </w:r>
    </w:p>
    <w:p>
      <w:pPr>
        <w:spacing w:before="10" w:after="20"/>
      </w:pPr>
      <w:r>
        <w:rPr>
          <w:rFonts w:ascii="Arial" w:cs="Arial" w:eastAsia="Arial" w:hAnsi="Arial"/>
          <w:b/>
          <w:bCs/>
          <w:color w:val="8B5E3C"/>
          <w:sz w:val="22"/>
          <w:szCs w:val="22"/>
        </w:rPr>
        <w:t xml:space="preserve">Senior QA Automation Engineer – Fixed Income Technology</w:t>
      </w:r>
      <w:r>
        <w:rPr>
          <w:rFonts w:ascii="Arial" w:cs="Arial" w:eastAsia="Arial" w:hAnsi="Arial"/>
          <w:i/>
          <w:iCs/>
          <w:color w:val="666666"/>
          <w:sz w:val="20"/>
          <w:szCs w:val="20"/>
        </w:rPr>
        <w:t xml:space="preserve">   |   Apr 2015 – Jan 2019</w:t>
      </w:r>
    </w:p>
    <w:p>
      <w:pPr>
        <w:spacing w:before="0" w:after="30"/>
      </w:pPr>
      <w:r>
        <w:t xml:space="preserve"/>
      </w:r>
    </w:p>
    <w:p>
      <w:pPr>
        <w:spacing w:before="40" w:after="40"/>
      </w:pPr>
      <w:r>
        <w:rPr>
          <w:rFonts w:ascii="Arial" w:cs="Arial" w:eastAsia="Arial" w:hAnsi="Arial"/>
          <w:sz w:val="20"/>
          <w:szCs w:val="20"/>
        </w:rPr>
        <w:t xml:space="preserve">Senior automation engineer within Deutsche Bank's Fixed Income &amp; Currencies (FIC) technology division, responsible for quality engineering of bond trading, credit derivatives, and rates technology platforms.</w:t>
      </w:r>
    </w:p>
    <w:p>
      <w:pPr>
        <w:spacing w:before="0" w:after="20"/>
      </w:pPr>
      <w:r>
        <w:t xml:space="preserve"/>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Automated front-to-back trade flow testing for Deutsche Bank's fixed income trading system covering government bonds, corporate bonds, structured products, and CDS.</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Built Selenium automation framework for Deutsche Bank's Autobahn electronic trading platform covering RFQ, streaming price, and order execution workflows.</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Designed API automation for trade booking, amendment, cancellation, and allocation services supporting voice and electronic fixed income trading.</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Implemented automated Sybase IQ database reconciliation comparing trading book positions to accounting general ledger entries for P&amp;L close validation.</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Conducted HP LoadRunner performance testing for Deutsche Bank market data distribution system handling 800,000 price updates per second.</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Built automated Basel III regulatory capital (IRC, CRM) calculation validation comparing model outputs to independently computed benchmarks.</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Automated EMIR trade repository reporting to REGIS-TR and DTCC for OTC derivative transactions under European regulatory mandate.</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Designed automated credit limit checking validation testing pre-trade risk controls, counterparty exposure limits, and position limit breaches.</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Implemented automated overnight batch process validation for Deutsche Bank's end-of-day settlement, accruals, and mark-to-market calculations.</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Led automation for IBOR (Interbank Offered Rate) benchmark transition project validating SOFR/SONIA/ESTR fallback rate calculations across fixed income portfolio.</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Built automated XVA (CVA, DVA, FVA, MVA) valuation adjustment testing for derivative pricing model outputs.</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Supported automation for Deutsche Bank's MiFID II readiness program covering best execution monitoring, transaction reporting, and research unbundling workflows.</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Reduced manual regression effort by 68% enabling Deutsche Bank FIC technology to support increased trade volume with flat headcount growth.</w:t>
      </w:r>
    </w:p>
    <w:p>
      <w:pPr>
        <w:spacing w:before="60" w:after="40"/>
      </w:pPr>
      <w:r>
        <w:rPr>
          <w:rFonts w:ascii="Arial" w:cs="Arial" w:eastAsia="Arial" w:hAnsi="Arial"/>
          <w:b/>
          <w:bCs/>
          <w:color w:val="5C3A1E"/>
          <w:sz w:val="19"/>
          <w:szCs w:val="19"/>
        </w:rPr>
        <w:t xml:space="preserve">Environment: </w:t>
      </w:r>
      <w:r>
        <w:rPr>
          <w:rFonts w:ascii="Arial" w:cs="Arial" w:eastAsia="Arial" w:hAnsi="Arial"/>
          <w:i/>
          <w:iCs/>
          <w:color w:val="555555"/>
          <w:sz w:val="19"/>
          <w:szCs w:val="19"/>
        </w:rPr>
        <w:t xml:space="preserve">Selenium, Java, TestNG, Rest Assured, HP LoadRunner, Oracle, Sybase IQ/ASE, Jenkins, HP ALM, Bamboo, SoapUI</w:t>
      </w:r>
    </w:p>
    <w:p>
      <w:pPr>
        <w:pBdr>
          <w:bottom w:val="single" w:color="CCCCCC" w:sz="10" w:space="1"/>
        </w:pBdr>
        <w:spacing w:before="80" w:after="60"/>
      </w:pPr>
      <w:r>
        <w:t xml:space="preserve"/>
      </w:r>
    </w:p>
    <w:p>
      <w:pPr>
        <w:spacing w:before="180" w:after="20"/>
      </w:pPr>
      <w:r>
        <w:rPr>
          <w:rFonts w:ascii="Arial" w:cs="Arial" w:eastAsia="Arial" w:hAnsi="Arial"/>
          <w:b/>
          <w:bCs/>
          <w:color w:val="5C3A1E"/>
          <w:sz w:val="25"/>
          <w:szCs w:val="25"/>
        </w:rPr>
        <w:t xml:space="preserve">Merrill Lynch (Bank of America Merrill Lynch)</w:t>
      </w:r>
      <w:r>
        <w:rPr>
          <w:rFonts w:ascii="Arial" w:cs="Arial" w:eastAsia="Arial" w:hAnsi="Arial"/>
          <w:color w:val="555555"/>
          <w:sz w:val="20"/>
          <w:szCs w:val="20"/>
        </w:rPr>
        <w:t xml:space="preserve">   —   New York, NY</w:t>
      </w:r>
    </w:p>
    <w:p>
      <w:pPr>
        <w:spacing w:before="10" w:after="20"/>
      </w:pPr>
      <w:r>
        <w:rPr>
          <w:rFonts w:ascii="Arial" w:cs="Arial" w:eastAsia="Arial" w:hAnsi="Arial"/>
          <w:b/>
          <w:bCs/>
          <w:color w:val="8B5E3C"/>
          <w:sz w:val="22"/>
          <w:szCs w:val="22"/>
        </w:rPr>
        <w:t xml:space="preserve">QA Engineer – Wealth Management Technology</w:t>
      </w:r>
      <w:r>
        <w:rPr>
          <w:rFonts w:ascii="Arial" w:cs="Arial" w:eastAsia="Arial" w:hAnsi="Arial"/>
          <w:i/>
          <w:iCs/>
          <w:color w:val="666666"/>
          <w:sz w:val="20"/>
          <w:szCs w:val="20"/>
        </w:rPr>
        <w:t xml:space="preserve">   |   Jan 2013 – Mar 2015</w:t>
      </w:r>
    </w:p>
    <w:p>
      <w:pPr>
        <w:spacing w:before="0" w:after="30"/>
      </w:pPr>
      <w:r>
        <w:t xml:space="preserve"/>
      </w:r>
    </w:p>
    <w:p>
      <w:pPr>
        <w:spacing w:before="40" w:after="40"/>
      </w:pPr>
      <w:r>
        <w:rPr>
          <w:rFonts w:ascii="Arial" w:cs="Arial" w:eastAsia="Arial" w:hAnsi="Arial"/>
          <w:sz w:val="20"/>
          <w:szCs w:val="20"/>
        </w:rPr>
        <w:t xml:space="preserve">QA engineer for Merrill Lynch's wealth management technology division supporting financial advisors and clients across Merrill Edge, advisor workstation, and retirement plan administration platforms.</w:t>
      </w:r>
    </w:p>
    <w:p>
      <w:pPr>
        <w:spacing w:before="0" w:after="20"/>
      </w:pPr>
      <w:r>
        <w:t xml:space="preserve"/>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Developed Selenium WebDriver automation for Merrill Lynch Client Relationship Management (CRM) system covering client onboarding, account opening, and relationship management workflows.</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Conducted API testing for portfolio management and account services RESTful APIs using Postman and Rest Assured.</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Performed Oracle SQL data validation for client account, holdings, and performance reporting data integrity.</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Automated retirement plan administration workflows covering 401(k) enrollment, contribution changes, fund selection, and distribution requests.</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Executed integration testing between Merrill Edge brokerage platform and Bank of America banking systems for CashPro integration.</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Supported UAT for Merrill Lynch advisor workstation upgrades coordinating with 150+ advisor beta testers.</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Conducted securities trade confirmation and account statement automated validation against trade blotter source data.</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Built test data management utilities maintaining test portfolios with realistic holdings across equity, fixed income, mutual fund, and alternative investment asset classes.</w:t>
      </w:r>
    </w:p>
    <w:p>
      <w:pPr>
        <w:spacing w:before="60" w:after="40"/>
      </w:pPr>
      <w:r>
        <w:rPr>
          <w:rFonts w:ascii="Arial" w:cs="Arial" w:eastAsia="Arial" w:hAnsi="Arial"/>
          <w:b/>
          <w:bCs/>
          <w:color w:val="5C3A1E"/>
          <w:sz w:val="19"/>
          <w:szCs w:val="19"/>
        </w:rPr>
        <w:t xml:space="preserve">Environment: </w:t>
      </w:r>
      <w:r>
        <w:rPr>
          <w:rFonts w:ascii="Arial" w:cs="Arial" w:eastAsia="Arial" w:hAnsi="Arial"/>
          <w:i/>
          <w:iCs/>
          <w:color w:val="555555"/>
          <w:sz w:val="19"/>
          <w:szCs w:val="19"/>
        </w:rPr>
        <w:t xml:space="preserve">Selenium WebDriver, Java, Postman, Rest Assured, Oracle, SQL Server, HP ALM, Jenkins</w:t>
      </w:r>
    </w:p>
    <w:p>
      <w:pPr>
        <w:pBdr>
          <w:bottom w:val="single" w:color="CCCCCC" w:sz="10" w:space="1"/>
        </w:pBdr>
        <w:spacing w:before="80" w:after="60"/>
      </w:pPr>
      <w:r>
        <w:t xml:space="preserve"/>
      </w:r>
    </w:p>
    <w:p>
      <w:pPr>
        <w:pBdr>
          <w:bottom w:val="single" w:color="5C3A1E" w:sz="8" w:space="1"/>
        </w:pBdr>
        <w:spacing w:before="220" w:after="80"/>
      </w:pPr>
      <w:r>
        <w:rPr>
          <w:rFonts w:ascii="Arial" w:cs="Arial" w:eastAsia="Arial" w:hAnsi="Arial"/>
          <w:b/>
          <w:bCs/>
          <w:color w:val="5C3A1E"/>
          <w:sz w:val="26"/>
          <w:szCs w:val="26"/>
        </w:rPr>
        <w:t xml:space="preserve">KEY AUTOMATION INITIATIVES &amp; ACHIEVEMENTS</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Reduced Goldman Sachs Marquee UAT cycle from 3 weeks to 4 days enabling monthly release cadence — first time in platform's 15-year history.</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Built FIX protocol automation framework at Goldman Sachs covering 45 message types — first systematic FIX automation in Marquee technology history.</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Led MiFID II automated compliance validation at Goldman Sachs covering 340+ reportable transaction fields, eliminating manual compliance spot-checking.</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Designed IBOR transition automation at Deutsche Bank validating SOFR/SONIA rate substitution across entire fixed income portfolio.</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Built automated XVA calculation validation framework enabling real-time comparison of CVA/DVA/FVA outputs to independent pricing model benchmarks.</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Implemented automated audit trail validation using Splunk SPL, providing regulators comprehensive evidence of trade record integrity.</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Led diversity initiative within Goldman Sachs QA community mentoring 6 women engineers transitioning from manual testing to automation roles.</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Designed automated dark pool connectivity testing at Goldman Sachs — framework adopted by electronic trading team for ongoing venue connectivity validation.</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Built Deutsche Bank EMIR reporting automation achieving 99.9% accuracy in OTC derivative regulatory submissions.</w:t>
      </w:r>
    </w:p>
    <w:p>
      <w:pPr>
        <w:pBdr>
          <w:bottom w:val="single" w:color="5C3A1E" w:sz="8" w:space="1"/>
        </w:pBdr>
        <w:spacing w:before="220" w:after="80"/>
      </w:pPr>
      <w:r>
        <w:rPr>
          <w:rFonts w:ascii="Arial" w:cs="Arial" w:eastAsia="Arial" w:hAnsi="Arial"/>
          <w:b/>
          <w:bCs/>
          <w:color w:val="5C3A1E"/>
          <w:sz w:val="26"/>
          <w:szCs w:val="26"/>
        </w:rPr>
        <w:t xml:space="preserve">NOTABLE TECHNICAL PROJECTS</w:t>
      </w:r>
    </w:p>
    <w:p>
      <w:pPr>
        <w:spacing w:before="160" w:after="40"/>
      </w:pPr>
      <w:r>
        <w:rPr>
          <w:rFonts w:ascii="Arial" w:cs="Arial" w:eastAsia="Arial" w:hAnsi="Arial"/>
          <w:b/>
          <w:bCs/>
          <w:color w:val="5C3A1E"/>
          <w:sz w:val="24"/>
          <w:szCs w:val="24"/>
        </w:rPr>
        <w:t xml:space="preserve">Goldman Sachs – Marquee Front-to-Back Trade Automation</w:t>
      </w:r>
    </w:p>
    <w:p>
      <w:pPr>
        <w:spacing w:before="40" w:after="40"/>
      </w:pPr>
      <w:r>
        <w:rPr>
          <w:rFonts w:ascii="Arial" w:cs="Arial" w:eastAsia="Arial" w:hAnsi="Arial"/>
          <w:sz w:val="20"/>
          <w:szCs w:val="20"/>
        </w:rPr>
        <w:t xml:space="preserve">Architected comprehensive front-to-back trade automation suite covering the complete trade lifecycle from client order entry through prime broker settlement.</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Automated 28-step trade lifecycle from FIX order entry to DTCC/DTC settlement confirmation.</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Validated trade data accuracy across 7 downstream systems: OMS, risk, compliance, accounting, prime brokerage, custody, and fund accounting.</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Built automated exception handling tests for trade breaks, settlement failures, and reconciliation discrepancies.</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Suite reduced trade lifecycle defect discovery time from post-release to pre-release, eliminating all trade-data related production incidents.</w:t>
      </w:r>
    </w:p>
    <w:p>
      <w:pPr>
        <w:spacing w:before="160" w:after="40"/>
      </w:pPr>
      <w:r>
        <w:rPr>
          <w:rFonts w:ascii="Arial" w:cs="Arial" w:eastAsia="Arial" w:hAnsi="Arial"/>
          <w:b/>
          <w:bCs/>
          <w:color w:val="5C3A1E"/>
          <w:sz w:val="24"/>
          <w:szCs w:val="24"/>
        </w:rPr>
        <w:t xml:space="preserve">Deutsche Bank – IBOR Transition Testing Program</w:t>
      </w:r>
    </w:p>
    <w:p>
      <w:pPr>
        <w:spacing w:before="40" w:after="40"/>
      </w:pPr>
      <w:r>
        <w:rPr>
          <w:rFonts w:ascii="Arial" w:cs="Arial" w:eastAsia="Arial" w:hAnsi="Arial"/>
          <w:sz w:val="20"/>
          <w:szCs w:val="20"/>
        </w:rPr>
        <w:t xml:space="preserve">Led comprehensive quality engineering program for Deutsche Bank's transition from LIBOR to risk-free rates (SOFR, SONIA, ESTR) across global fixed income portfolio.</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Designed automated fallback rate calculation validation across 50,000+ affected contracts.</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Built automated P&amp;L impact analysis comparing LIBOR and RFR-based pricing across all fixed income asset classes.</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Validated 15 system modifications required for RFR adoption across trading, risk, and accounting platforms.</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Zero regulatory findings or client disputes attributed to defects in IBOR transition implementation.</w:t>
      </w:r>
    </w:p>
    <w:p>
      <w:pPr>
        <w:pBdr>
          <w:bottom w:val="single" w:color="5C3A1E" w:sz="8" w:space="1"/>
        </w:pBdr>
        <w:spacing w:before="220" w:after="80"/>
      </w:pPr>
      <w:r>
        <w:rPr>
          <w:rFonts w:ascii="Arial" w:cs="Arial" w:eastAsia="Arial" w:hAnsi="Arial"/>
          <w:b/>
          <w:bCs/>
          <w:color w:val="5C3A1E"/>
          <w:sz w:val="26"/>
          <w:szCs w:val="26"/>
        </w:rPr>
        <w:t xml:space="preserve">EDUCATION</w:t>
      </w:r>
    </w:p>
    <w:p>
      <w:pPr>
        <w:spacing w:before="60" w:after="20"/>
      </w:pPr>
      <w:r>
        <w:rPr>
          <w:rFonts w:ascii="Arial" w:cs="Arial" w:eastAsia="Arial" w:hAnsi="Arial"/>
          <w:b/>
          <w:bCs/>
          <w:sz w:val="22"/>
          <w:szCs w:val="22"/>
        </w:rPr>
        <w:t xml:space="preserve">Master of Science – Financial Engineering</w:t>
      </w:r>
    </w:p>
    <w:p>
      <w:pPr>
        <w:spacing w:before="0" w:after="20"/>
      </w:pPr>
      <w:r>
        <w:rPr>
          <w:rFonts w:ascii="Arial" w:cs="Arial" w:eastAsia="Arial" w:hAnsi="Arial"/>
          <w:color w:val="555555"/>
          <w:sz w:val="20"/>
          <w:szCs w:val="20"/>
        </w:rPr>
        <w:t xml:space="preserve">Columbia University – School of Engineering   |   New York, NY   |   2011–2013</w:t>
      </w:r>
    </w:p>
    <w:p>
      <w:pPr>
        <w:spacing w:before="40" w:after="40"/>
      </w:pPr>
      <w:r>
        <w:rPr>
          <w:rFonts w:ascii="Arial" w:cs="Arial" w:eastAsia="Arial" w:hAnsi="Arial"/>
          <w:sz w:val="20"/>
          <w:szCs w:val="20"/>
        </w:rPr>
        <w:t xml:space="preserve">Rigorous graduate program combining advanced mathematics, financial theory, and computational methods. Courses: Fixed Income Mathematics, Options Pricing, Algorithmic Trading, Risk Management. Thesis: 'Automated Validation Methods for Derivative Pricing Models.' GPA: 3.8/4.0.</w:t>
      </w:r>
    </w:p>
    <w:p>
      <w:pPr>
        <w:spacing w:before="60" w:after="20"/>
      </w:pPr>
      <w:r>
        <w:rPr>
          <w:rFonts w:ascii="Arial" w:cs="Arial" w:eastAsia="Arial" w:hAnsi="Arial"/>
          <w:b/>
          <w:bCs/>
          <w:sz w:val="22"/>
          <w:szCs w:val="22"/>
        </w:rPr>
        <w:t xml:space="preserve">Bachelor of Science – Computer Science</w:t>
      </w:r>
    </w:p>
    <w:p>
      <w:pPr>
        <w:spacing w:before="0" w:after="20"/>
      </w:pPr>
      <w:r>
        <w:rPr>
          <w:rFonts w:ascii="Arial" w:cs="Arial" w:eastAsia="Arial" w:hAnsi="Arial"/>
          <w:color w:val="555555"/>
          <w:sz w:val="20"/>
          <w:szCs w:val="20"/>
        </w:rPr>
        <w:t xml:space="preserve">University of Nigeria, Nsukka   |   Enugu State, Nigeria   |   2007–2011</w:t>
      </w:r>
    </w:p>
    <w:p>
      <w:pPr>
        <w:spacing w:before="40" w:after="40"/>
      </w:pPr>
      <w:r>
        <w:rPr>
          <w:rFonts w:ascii="Arial" w:cs="Arial" w:eastAsia="Arial" w:hAnsi="Arial"/>
          <w:sz w:val="20"/>
          <w:szCs w:val="20"/>
        </w:rPr>
        <w:t xml:space="preserve">First Class Honours. Scholarship recipient from Nigerian Information Technology Development Agency (NITDA). Senior thesis on distributed transaction processing systems.</w:t>
      </w:r>
    </w:p>
    <w:p>
      <w:pPr>
        <w:pBdr>
          <w:bottom w:val="single" w:color="5C3A1E" w:sz="8" w:space="1"/>
        </w:pBdr>
        <w:spacing w:before="220" w:after="80"/>
      </w:pPr>
      <w:r>
        <w:rPr>
          <w:rFonts w:ascii="Arial" w:cs="Arial" w:eastAsia="Arial" w:hAnsi="Arial"/>
          <w:b/>
          <w:bCs/>
          <w:color w:val="5C3A1E"/>
          <w:sz w:val="26"/>
          <w:szCs w:val="26"/>
        </w:rPr>
        <w:t xml:space="preserve">CERTIFICATIONS &amp; PROFESSIONAL DEVELOPMENT</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ISTQB Advanced Level – Technical Test Analyst (CTAL-TTA) | Issued 2018</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FIX Trading Community – FIX Protocol Fundamentals Certification | Issued 2016 | Renewed 2020</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AWS Certified Cloud Practitioner (CLF-C02) | Issued 2022</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Certified SAFe 5 Practitioner (SP) | Issued 2020</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Bloomberg Market Concepts (BMC) Certification | Issued 2014 | Renewed 2021</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Oracle Database 19c SQL Certified Professional | Issued 2021</w:t>
      </w:r>
    </w:p>
    <w:p>
      <w:pPr>
        <w:pBdr>
          <w:bottom w:val="single" w:color="5C3A1E" w:sz="8" w:space="1"/>
        </w:pBdr>
        <w:spacing w:before="220" w:after="80"/>
      </w:pPr>
      <w:r>
        <w:rPr>
          <w:rFonts w:ascii="Arial" w:cs="Arial" w:eastAsia="Arial" w:hAnsi="Arial"/>
          <w:b/>
          <w:bCs/>
          <w:color w:val="5C3A1E"/>
          <w:sz w:val="26"/>
          <w:szCs w:val="26"/>
        </w:rPr>
        <w:t xml:space="preserve">PROFESSIONAL AFFILIATIONS &amp; COMMUNITY</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Founding Member, FinTech Women in QA Network – 500+ member community for women in financial technology testing</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Speaker, SIFMA Technology Conference 2022 – 'Automated Trade Lifecycle Testing: Reducing UAT from Weeks to Days'</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Technical Advisor, FIX Trading Community Testing Working Group – Contributing to FIX protocol test specification standards</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Mentor, Goldman Sachs Women's Network – Mentoring 4 junior women technologists in financial services</w:t>
      </w:r>
    </w:p>
    <w:p>
      <w:pPr>
        <w:pBdr>
          <w:bottom w:val="single" w:color="5C3A1E" w:sz="8" w:space="1"/>
        </w:pBdr>
        <w:spacing w:before="220" w:after="80"/>
      </w:pPr>
      <w:r>
        <w:rPr>
          <w:rFonts w:ascii="Arial" w:cs="Arial" w:eastAsia="Arial" w:hAnsi="Arial"/>
          <w:b/>
          <w:bCs/>
          <w:color w:val="5C3A1E"/>
          <w:sz w:val="26"/>
          <w:szCs w:val="26"/>
        </w:rPr>
        <w:t xml:space="preserve">PUBLICATIONS, TALKS &amp; KNOWLEDGE SHARING</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'FIX Protocol Testing: A Complete Guide for Capital Markets QA Engineers' – TechBeacon, May 2022 (7,800 views)</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'MiFID II Automated Compliance Testing: Patterns and Anti-patterns' – FinExtra Research, February 2022</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'Trade Lifecycle Testing in Investment Banking: Domain Knowledge for QA Professionals' – Ministry of Testing Blog, September 2021</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Panel Discussion: 'Women in FinTech Quality Engineering' – FinTech Equality Collective Summit, October 2022</w:t>
      </w:r>
    </w:p>
    <w:p>
      <w:pPr>
        <w:spacing w:before="28" w:after="28"/>
        <w:ind w:left="360" w:hanging="200"/>
      </w:pPr>
      <w:r>
        <w:rPr>
          <w:rFonts w:ascii="Arial" w:cs="Arial" w:eastAsia="Arial" w:hAnsi="Arial"/>
          <w:b/>
          <w:bCs/>
          <w:color w:val="8B5E3C"/>
          <w:sz w:val="20"/>
          <w:szCs w:val="20"/>
        </w:rPr>
        <w:t xml:space="preserve">• </w:t>
      </w:r>
      <w:r>
        <w:rPr>
          <w:rFonts w:ascii="Arial" w:cs="Arial" w:eastAsia="Arial" w:hAnsi="Arial"/>
          <w:sz w:val="20"/>
          <w:szCs w:val="20"/>
        </w:rPr>
        <w:t xml:space="preserve">'IBOR Transition Testing: Validating SOFR/SONIA Rate Substitutions' – Risk.net Technology, December 2021</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2026-03-13T11:15:57.081Z</dcterms:created>
  <dcterms:modified xsi:type="dcterms:W3CDTF">2026-03-13T11:15:57.081Z</dcterms:modified>
</cp:coreProperties>
</file>

<file path=docProps/custom.xml><?xml version="1.0" encoding="utf-8"?>
<Properties xmlns="http://schemas.openxmlformats.org/officeDocument/2006/custom-properties" xmlns:vt="http://schemas.openxmlformats.org/officeDocument/2006/docPropsVTypes"/>
</file>