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4527A0" w:val="clear"/>
        <w:spacing w:after="0"/>
        <w:jc w:val="center"/>
      </w:pPr>
      <w:r>
        <w:rPr>
          <w:rFonts w:ascii="Segoe UI" w:cs="Segoe UI" w:eastAsia="Segoe UI" w:hAnsi="Segoe UI"/>
          <w:b/>
          <w:bCs/>
          <w:color w:val="FFFFFF"/>
          <w:sz w:val="50"/>
          <w:szCs w:val="50"/>
        </w:rPr>
        <w:t xml:space="preserve">KISHORE VENKATESH</w:t>
      </w:r>
    </w:p>
    <w:p>
      <w:pPr>
        <w:shd w:fill="311B92" w:val="clear"/>
        <w:spacing w:after="0"/>
        <w:jc w:val="center"/>
      </w:pPr>
      <w:r>
        <w:rPr>
          <w:rFonts w:ascii="Segoe UI" w:cs="Segoe UI" w:eastAsia="Segoe UI" w:hAnsi="Segoe UI"/>
          <w:color w:val="D1C4E9"/>
          <w:sz w:val="20"/>
          <w:szCs w:val="20"/>
        </w:rPr>
        <w:t xml:space="preserve">Enterprise Data Warehouse Architect / Cloud Migration Specialist  ·  Dallas, TX  ·  15+ Years</w:t>
      </w:r>
    </w:p>
    <w:p>
      <w:pPr>
        <w:shd w:fill="1A0050" w:val="clear"/>
        <w:spacing w:after="200"/>
        <w:jc w:val="center"/>
      </w:pPr>
      <w:r>
        <w:rPr>
          <w:rFonts w:ascii="Segoe UI" w:cs="Segoe UI" w:eastAsia="Segoe UI" w:hAnsi="Segoe UI"/>
          <w:color w:val="B39DDB"/>
          <w:sz w:val="17"/>
          <w:szCs w:val="17"/>
        </w:rPr>
        <w:t xml:space="preserve">+1 (214) 667-4423   kishore.venk.dw@databridge.solutions   linkedin.com/in/kishore-venkatesh-dwh</w:t>
      </w:r>
    </w:p>
    <w:p>
      <w:pPr>
        <w:spacing w:before="200" w:after="80"/>
      </w:pPr>
      <w:r>
        <w:rPr>
          <w:rFonts w:ascii="Segoe UI" w:cs="Segoe UI" w:eastAsia="Segoe UI" w:hAnsi="Segoe UI"/>
          <w:b/>
          <w:bCs/>
          <w:color w:val="4527A0"/>
          <w:sz w:val="24"/>
          <w:szCs w:val="24"/>
        </w:rPr>
        <w:t xml:space="preserve">▍ SUMMARY</w:t>
      </w:r>
    </w:p>
    <w:p>
      <w:pPr>
        <w:spacing w:after="140"/>
      </w:pPr>
      <w:r>
        <w:rPr>
          <w:rFonts w:ascii="Segoe UI" w:cs="Segoe UI" w:eastAsia="Segoe UI" w:hAnsi="Segoe UI"/>
          <w:sz w:val="18"/>
          <w:szCs w:val="18"/>
        </w:rPr>
        <w:t xml:space="preserve">Enterprise Data Warehouse Architect and Cloud Migration Specialist with 15+ years of expertise in legacy DW modernization, Teradata-to-cloud migrations, and enterprise analytics platform delivery. Expert in Teradata, Snowflake, IBM Netezza, SAP BW, and multi-cloud migration methodologies. Led major DW transformation programs at ExxonMobil, AT&amp;T, and American Airlines generating $45M+ in combined infrastructure savings. Deep expertise in ETL migration from Informatica/Ab Initio to cloud-native tools, enterprise data modeling (Kimball, Inmon, Data Vault), and information architecture governance. Teradata Vantage Certified Expert and Snowflake Partner Elite engineer.</w:t>
      </w:r>
    </w:p>
    <w:p>
      <w:pPr>
        <w:spacing w:before="200" w:after="80"/>
      </w:pPr>
      <w:r>
        <w:rPr>
          <w:rFonts w:ascii="Segoe UI" w:cs="Segoe UI" w:eastAsia="Segoe UI" w:hAnsi="Segoe UI"/>
          <w:b/>
          <w:bCs/>
          <w:color w:val="4527A0"/>
          <w:sz w:val="24"/>
          <w:szCs w:val="24"/>
        </w:rPr>
        <w:t xml:space="preserve">▍ TECHNOLOGIES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4527A0" w:sz="2"/>
              <w:left w:val="none" w:color="FFFFFF" w:sz="0"/>
              <w:bottom w:val="single" w:color="4527A0" w:sz="2"/>
              <w:right w:val="single" w:color="D1C4E9" w:sz="1"/>
            </w:tcBorders>
            <w:shd w:fill="EDE7F6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4527A0"/>
                <w:sz w:val="15"/>
                <w:szCs w:val="15"/>
              </w:rPr>
              <w:t xml:space="preserve">SQL</w:t>
            </w:r>
          </w:p>
        </w:tc>
        <w:tc>
          <w:tcPr>
            <w:tcW w:type="dxa" w:w="1560"/>
            <w:tcBorders>
              <w:top w:val="single" w:color="4527A0" w:sz="2"/>
              <w:left w:val="none" w:color="FFFFFF" w:sz="0"/>
              <w:bottom w:val="single" w:color="4527A0" w:sz="2"/>
              <w:right w:val="single" w:color="D1C4E9" w:sz="1"/>
            </w:tcBorders>
            <w:shd w:fill="EDE7F6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4527A0"/>
                <w:sz w:val="15"/>
                <w:szCs w:val="15"/>
              </w:rPr>
              <w:t xml:space="preserve">Python</w:t>
            </w:r>
          </w:p>
        </w:tc>
        <w:tc>
          <w:tcPr>
            <w:tcW w:type="dxa" w:w="1560"/>
            <w:tcBorders>
              <w:top w:val="single" w:color="4527A0" w:sz="2"/>
              <w:left w:val="none" w:color="FFFFFF" w:sz="0"/>
              <w:bottom w:val="single" w:color="4527A0" w:sz="2"/>
              <w:right w:val="single" w:color="D1C4E9" w:sz="1"/>
            </w:tcBorders>
            <w:shd w:fill="EDE7F6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4527A0"/>
                <w:sz w:val="15"/>
                <w:szCs w:val="15"/>
              </w:rPr>
              <w:t xml:space="preserve">BTEQ</w:t>
            </w:r>
          </w:p>
        </w:tc>
        <w:tc>
          <w:tcPr>
            <w:tcW w:type="dxa" w:w="1560"/>
            <w:tcBorders>
              <w:top w:val="single" w:color="4527A0" w:sz="2"/>
              <w:left w:val="none" w:color="FFFFFF" w:sz="0"/>
              <w:bottom w:val="single" w:color="4527A0" w:sz="2"/>
              <w:right w:val="single" w:color="D1C4E9" w:sz="1"/>
            </w:tcBorders>
            <w:shd w:fill="EDE7F6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4527A0"/>
                <w:sz w:val="15"/>
                <w:szCs w:val="15"/>
              </w:rPr>
              <w:t xml:space="preserve">TPT (Teradata Parallel</w:t>
            </w:r>
          </w:p>
        </w:tc>
        <w:tc>
          <w:tcPr>
            <w:tcW w:type="dxa" w:w="1560"/>
            <w:tcBorders>
              <w:top w:val="single" w:color="4527A0" w:sz="2"/>
              <w:left w:val="none" w:color="FFFFFF" w:sz="0"/>
              <w:bottom w:val="single" w:color="4527A0" w:sz="2"/>
              <w:right w:val="single" w:color="D1C4E9" w:sz="1"/>
            </w:tcBorders>
            <w:shd w:fill="EDE7F6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4527A0"/>
                <w:sz w:val="15"/>
                <w:szCs w:val="15"/>
              </w:rPr>
              <w:t xml:space="preserve">T-SQL</w:t>
            </w:r>
          </w:p>
        </w:tc>
        <w:tc>
          <w:tcPr>
            <w:tcW w:type="dxa" w:w="1560"/>
            <w:tcBorders>
              <w:top w:val="single" w:color="4527A0" w:sz="2"/>
              <w:left w:val="none" w:color="FFFFFF" w:sz="0"/>
              <w:bottom w:val="single" w:color="4527A0" w:sz="2"/>
              <w:right w:val="single" w:color="D1C4E9" w:sz="1"/>
            </w:tcBorders>
            <w:shd w:fill="EDE7F6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4527A0"/>
                <w:sz w:val="15"/>
                <w:szCs w:val="15"/>
              </w:rPr>
              <w:t xml:space="preserve">PL/SQL</w:t>
            </w:r>
          </w:p>
        </w:tc>
      </w:tr>
    </w:tbl>
    <w:p>
      <w:pPr>
        <w:spacing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4527A0" w:sz="2"/>
              <w:left w:val="none" w:color="FFFFFF" w:sz="0"/>
              <w:bottom w:val="single" w:color="4527A0" w:sz="2"/>
              <w:right w:val="single" w:color="D1C4E9" w:sz="1"/>
            </w:tcBorders>
            <w:shd w:fill="EDE7F6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4527A0"/>
                <w:sz w:val="15"/>
                <w:szCs w:val="15"/>
              </w:rPr>
              <w:t xml:space="preserve">Bash</w:t>
            </w:r>
          </w:p>
        </w:tc>
        <w:tc>
          <w:tcPr>
            <w:tcW w:type="dxa" w:w="1560"/>
            <w:tcBorders>
              <w:top w:val="single" w:color="4527A0" w:sz="2"/>
              <w:left w:val="none" w:color="FFFFFF" w:sz="0"/>
              <w:bottom w:val="single" w:color="4527A0" w:sz="2"/>
              <w:right w:val="single" w:color="D1C4E9" w:sz="1"/>
            </w:tcBorders>
            <w:shd w:fill="EDE7F6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4527A0"/>
                <w:sz w:val="15"/>
                <w:szCs w:val="15"/>
              </w:rPr>
              <w:t xml:space="preserve">Perl</w:t>
            </w:r>
          </w:p>
        </w:tc>
        <w:tc>
          <w:tcPr>
            <w:tcW w:type="dxa" w:w="1560"/>
            <w:tcBorders>
              <w:top w:val="single" w:color="4527A0" w:sz="2"/>
              <w:left w:val="none" w:color="FFFFFF" w:sz="0"/>
              <w:bottom w:val="single" w:color="4527A0" w:sz="2"/>
              <w:right w:val="single" w:color="D1C4E9" w:sz="1"/>
            </w:tcBorders>
            <w:shd w:fill="EDE7F6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4527A0"/>
                <w:sz w:val="15"/>
                <w:szCs w:val="15"/>
              </w:rPr>
              <w:t xml:space="preserve">Teradata Vantage 17/16</w:t>
            </w:r>
          </w:p>
        </w:tc>
        <w:tc>
          <w:tcPr>
            <w:tcW w:type="dxa" w:w="1560"/>
            <w:tcBorders>
              <w:top w:val="single" w:color="4527A0" w:sz="2"/>
              <w:left w:val="none" w:color="FFFFFF" w:sz="0"/>
              <w:bottom w:val="single" w:color="4527A0" w:sz="2"/>
              <w:right w:val="single" w:color="D1C4E9" w:sz="1"/>
            </w:tcBorders>
            <w:shd w:fill="EDE7F6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4527A0"/>
                <w:sz w:val="15"/>
                <w:szCs w:val="15"/>
              </w:rPr>
              <w:t xml:space="preserve">Snowflake</w:t>
            </w:r>
          </w:p>
        </w:tc>
        <w:tc>
          <w:tcPr>
            <w:tcW w:type="dxa" w:w="1560"/>
            <w:tcBorders>
              <w:top w:val="single" w:color="4527A0" w:sz="2"/>
              <w:left w:val="none" w:color="FFFFFF" w:sz="0"/>
              <w:bottom w:val="single" w:color="4527A0" w:sz="2"/>
              <w:right w:val="single" w:color="D1C4E9" w:sz="1"/>
            </w:tcBorders>
            <w:shd w:fill="EDE7F6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4527A0"/>
                <w:sz w:val="15"/>
                <w:szCs w:val="15"/>
              </w:rPr>
              <w:t xml:space="preserve">IBM Netezza</w:t>
            </w:r>
          </w:p>
        </w:tc>
        <w:tc>
          <w:tcPr>
            <w:tcW w:type="dxa" w:w="1560"/>
            <w:tcBorders>
              <w:top w:val="single" w:color="4527A0" w:sz="2"/>
              <w:left w:val="none" w:color="FFFFFF" w:sz="0"/>
              <w:bottom w:val="single" w:color="4527A0" w:sz="2"/>
              <w:right w:val="single" w:color="D1C4E9" w:sz="1"/>
            </w:tcBorders>
            <w:shd w:fill="EDE7F6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4527A0"/>
                <w:sz w:val="15"/>
                <w:szCs w:val="15"/>
              </w:rPr>
              <w:t xml:space="preserve">Amazon Redshift</w:t>
            </w:r>
          </w:p>
        </w:tc>
      </w:tr>
    </w:tbl>
    <w:p>
      <w:pPr>
        <w:spacing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4527A0" w:sz="2"/>
              <w:left w:val="none" w:color="FFFFFF" w:sz="0"/>
              <w:bottom w:val="single" w:color="4527A0" w:sz="2"/>
              <w:right w:val="single" w:color="D1C4E9" w:sz="1"/>
            </w:tcBorders>
            <w:shd w:fill="EDE7F6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4527A0"/>
                <w:sz w:val="15"/>
                <w:szCs w:val="15"/>
              </w:rPr>
              <w:t xml:space="preserve">Azure Synapse</w:t>
            </w:r>
          </w:p>
        </w:tc>
        <w:tc>
          <w:tcPr>
            <w:tcW w:type="dxa" w:w="1560"/>
            <w:tcBorders>
              <w:top w:val="single" w:color="4527A0" w:sz="2"/>
              <w:left w:val="none" w:color="FFFFFF" w:sz="0"/>
              <w:bottom w:val="single" w:color="4527A0" w:sz="2"/>
              <w:right w:val="single" w:color="D1C4E9" w:sz="1"/>
            </w:tcBorders>
            <w:shd w:fill="EDE7F6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4527A0"/>
                <w:sz w:val="15"/>
                <w:szCs w:val="15"/>
              </w:rPr>
              <w:t xml:space="preserve">Google BigQuery</w:t>
            </w:r>
          </w:p>
        </w:tc>
        <w:tc>
          <w:tcPr>
            <w:tcW w:type="dxa" w:w="1560"/>
            <w:tcBorders>
              <w:top w:val="single" w:color="4527A0" w:sz="2"/>
              <w:left w:val="none" w:color="FFFFFF" w:sz="0"/>
              <w:bottom w:val="single" w:color="4527A0" w:sz="2"/>
              <w:right w:val="single" w:color="D1C4E9" w:sz="1"/>
            </w:tcBorders>
            <w:shd w:fill="EDE7F6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4527A0"/>
                <w:sz w:val="15"/>
                <w:szCs w:val="15"/>
              </w:rPr>
              <w:t xml:space="preserve">Oracle Exadata</w:t>
            </w:r>
          </w:p>
        </w:tc>
        <w:tc>
          <w:tcPr>
            <w:tcW w:type="dxa" w:w="1560"/>
            <w:tcBorders>
              <w:top w:val="single" w:color="4527A0" w:sz="2"/>
              <w:left w:val="none" w:color="FFFFFF" w:sz="0"/>
              <w:bottom w:val="single" w:color="4527A0" w:sz="2"/>
              <w:right w:val="single" w:color="D1C4E9" w:sz="1"/>
            </w:tcBorders>
            <w:shd w:fill="EDE7F6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4527A0"/>
                <w:sz w:val="15"/>
                <w:szCs w:val="15"/>
              </w:rPr>
              <w:t xml:space="preserve">SAP BW/4HANA</w:t>
            </w:r>
          </w:p>
        </w:tc>
        <w:tc>
          <w:tcPr>
            <w:tcW w:type="dxa" w:w="1560"/>
            <w:tcBorders>
              <w:top w:val="single" w:color="4527A0" w:sz="2"/>
              <w:left w:val="none" w:color="FFFFFF" w:sz="0"/>
              <w:bottom w:val="single" w:color="4527A0" w:sz="2"/>
              <w:right w:val="single" w:color="D1C4E9" w:sz="1"/>
            </w:tcBorders>
            <w:shd w:fill="EDE7F6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4527A0"/>
                <w:sz w:val="15"/>
                <w:szCs w:val="15"/>
              </w:rPr>
              <w:t xml:space="preserve">IBM Db2 Warehouse</w:t>
            </w:r>
          </w:p>
        </w:tc>
        <w:tc>
          <w:tcPr>
            <w:tcW w:type="dxa" w:w="1560"/>
            <w:tcBorders>
              <w:top w:val="single" w:color="4527A0" w:sz="2"/>
              <w:left w:val="none" w:color="FFFFFF" w:sz="0"/>
              <w:bottom w:val="single" w:color="4527A0" w:sz="2"/>
              <w:right w:val="single" w:color="D1C4E9" w:sz="1"/>
            </w:tcBorders>
            <w:shd w:fill="EDE7F6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4527A0"/>
                <w:sz w:val="15"/>
                <w:szCs w:val="15"/>
              </w:rPr>
              <w:t xml:space="preserve">Informatica PowerCente</w:t>
            </w:r>
          </w:p>
        </w:tc>
      </w:tr>
    </w:tbl>
    <w:p>
      <w:pPr>
        <w:spacing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4527A0" w:sz="2"/>
              <w:left w:val="none" w:color="FFFFFF" w:sz="0"/>
              <w:bottom w:val="single" w:color="4527A0" w:sz="2"/>
              <w:right w:val="single" w:color="D1C4E9" w:sz="1"/>
            </w:tcBorders>
            <w:shd w:fill="EDE7F6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4527A0"/>
                <w:sz w:val="15"/>
                <w:szCs w:val="15"/>
              </w:rPr>
              <w:t xml:space="preserve">Ab Initio GDE</w:t>
            </w:r>
          </w:p>
        </w:tc>
        <w:tc>
          <w:tcPr>
            <w:tcW w:type="dxa" w:w="1560"/>
            <w:tcBorders>
              <w:top w:val="single" w:color="4527A0" w:sz="2"/>
              <w:left w:val="none" w:color="FFFFFF" w:sz="0"/>
              <w:bottom w:val="single" w:color="4527A0" w:sz="2"/>
              <w:right w:val="single" w:color="D1C4E9" w:sz="1"/>
            </w:tcBorders>
            <w:shd w:fill="EDE7F6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4527A0"/>
                <w:sz w:val="15"/>
                <w:szCs w:val="15"/>
              </w:rPr>
              <w:t xml:space="preserve">IBM DataStage</w:t>
            </w:r>
          </w:p>
        </w:tc>
        <w:tc>
          <w:tcPr>
            <w:tcW w:type="dxa" w:w="1560"/>
            <w:tcBorders>
              <w:top w:val="single" w:color="4527A0" w:sz="2"/>
              <w:left w:val="none" w:color="FFFFFF" w:sz="0"/>
              <w:bottom w:val="single" w:color="4527A0" w:sz="2"/>
              <w:right w:val="single" w:color="D1C4E9" w:sz="1"/>
            </w:tcBorders>
            <w:shd w:fill="EDE7F6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4527A0"/>
                <w:sz w:val="15"/>
                <w:szCs w:val="15"/>
              </w:rPr>
              <w:t xml:space="preserve">Talend Enterprise</w:t>
            </w:r>
          </w:p>
        </w:tc>
        <w:tc>
          <w:tcPr>
            <w:tcW w:type="dxa" w:w="1560"/>
            <w:tcBorders>
              <w:top w:val="single" w:color="4527A0" w:sz="2"/>
              <w:left w:val="none" w:color="FFFFFF" w:sz="0"/>
              <w:bottom w:val="single" w:color="4527A0" w:sz="2"/>
              <w:right w:val="single" w:color="D1C4E9" w:sz="1"/>
            </w:tcBorders>
            <w:shd w:fill="EDE7F6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4527A0"/>
                <w:sz w:val="15"/>
                <w:szCs w:val="15"/>
              </w:rPr>
              <w:t xml:space="preserve">AWS Glue</w:t>
            </w:r>
          </w:p>
        </w:tc>
        <w:tc>
          <w:tcPr>
            <w:tcW w:type="dxa" w:w="1560"/>
            <w:tcBorders>
              <w:top w:val="single" w:color="4527A0" w:sz="2"/>
              <w:left w:val="none" w:color="FFFFFF" w:sz="0"/>
              <w:bottom w:val="single" w:color="4527A0" w:sz="2"/>
              <w:right w:val="single" w:color="D1C4E9" w:sz="1"/>
            </w:tcBorders>
            <w:shd w:fill="EDE7F6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4527A0"/>
                <w:sz w:val="15"/>
                <w:szCs w:val="15"/>
              </w:rPr>
              <w:t xml:space="preserve">dbt</w:t>
            </w:r>
          </w:p>
        </w:tc>
        <w:tc>
          <w:tcPr>
            <w:tcW w:type="dxa" w:w="1560"/>
            <w:tcBorders>
              <w:top w:val="single" w:color="4527A0" w:sz="2"/>
              <w:left w:val="none" w:color="FFFFFF" w:sz="0"/>
              <w:bottom w:val="single" w:color="4527A0" w:sz="2"/>
              <w:right w:val="single" w:color="D1C4E9" w:sz="1"/>
            </w:tcBorders>
            <w:shd w:fill="EDE7F6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4527A0"/>
                <w:sz w:val="15"/>
                <w:szCs w:val="15"/>
              </w:rPr>
              <w:t xml:space="preserve">Azure Data Factory</w:t>
            </w:r>
          </w:p>
        </w:tc>
      </w:tr>
    </w:tbl>
    <w:p>
      <w:pPr>
        <w:spacing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4527A0" w:sz="2"/>
              <w:left w:val="none" w:color="FFFFFF" w:sz="0"/>
              <w:bottom w:val="single" w:color="4527A0" w:sz="2"/>
              <w:right w:val="single" w:color="D1C4E9" w:sz="1"/>
            </w:tcBorders>
            <w:shd w:fill="EDE7F6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4527A0"/>
                <w:sz w:val="15"/>
                <w:szCs w:val="15"/>
              </w:rPr>
              <w:t xml:space="preserve">SSIS</w:t>
            </w:r>
          </w:p>
        </w:tc>
        <w:tc>
          <w:tcPr>
            <w:tcW w:type="dxa" w:w="1560"/>
            <w:tcBorders>
              <w:top w:val="single" w:color="4527A0" w:sz="2"/>
              <w:left w:val="none" w:color="FFFFFF" w:sz="0"/>
              <w:bottom w:val="single" w:color="4527A0" w:sz="2"/>
              <w:right w:val="single" w:color="D1C4E9" w:sz="1"/>
            </w:tcBorders>
            <w:shd w:fill="EDE7F6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4527A0"/>
                <w:sz w:val="15"/>
                <w:szCs w:val="15"/>
              </w:rPr>
              <w:t xml:space="preserve">AWS (Redshift</w:t>
            </w:r>
          </w:p>
        </w:tc>
        <w:tc>
          <w:tcPr>
            <w:tcW w:type="dxa" w:w="1560"/>
            <w:tcBorders>
              <w:top w:val="single" w:color="4527A0" w:sz="2"/>
              <w:left w:val="none" w:color="FFFFFF" w:sz="0"/>
              <w:bottom w:val="single" w:color="4527A0" w:sz="2"/>
              <w:right w:val="single" w:color="D1C4E9" w:sz="1"/>
            </w:tcBorders>
            <w:shd w:fill="EDE7F6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4527A0"/>
                <w:sz w:val="15"/>
                <w:szCs w:val="15"/>
              </w:rPr>
              <w:t xml:space="preserve">S3</w:t>
            </w:r>
          </w:p>
        </w:tc>
        <w:tc>
          <w:tcPr>
            <w:tcW w:type="dxa" w:w="1560"/>
            <w:tcBorders>
              <w:top w:val="single" w:color="4527A0" w:sz="2"/>
              <w:left w:val="none" w:color="FFFFFF" w:sz="0"/>
              <w:bottom w:val="single" w:color="4527A0" w:sz="2"/>
              <w:right w:val="single" w:color="D1C4E9" w:sz="1"/>
            </w:tcBorders>
            <w:shd w:fill="EDE7F6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4527A0"/>
                <w:sz w:val="15"/>
                <w:szCs w:val="15"/>
              </w:rPr>
              <w:t xml:space="preserve">Glue</w:t>
            </w:r>
          </w:p>
        </w:tc>
        <w:tc>
          <w:tcPr>
            <w:tcW w:type="dxa" w:w="1560"/>
            <w:tcBorders>
              <w:top w:val="single" w:color="4527A0" w:sz="2"/>
              <w:left w:val="none" w:color="FFFFFF" w:sz="0"/>
              <w:bottom w:val="single" w:color="4527A0" w:sz="2"/>
              <w:right w:val="single" w:color="D1C4E9" w:sz="1"/>
            </w:tcBorders>
            <w:shd w:fill="EDE7F6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4527A0"/>
                <w:sz w:val="15"/>
                <w:szCs w:val="15"/>
              </w:rPr>
              <w:t xml:space="preserve">EMR</w:t>
            </w:r>
          </w:p>
        </w:tc>
        <w:tc>
          <w:tcPr>
            <w:tcW w:type="dxa" w:w="1560"/>
            <w:tcBorders>
              <w:top w:val="single" w:color="4527A0" w:sz="2"/>
              <w:left w:val="none" w:color="FFFFFF" w:sz="0"/>
              <w:bottom w:val="single" w:color="4527A0" w:sz="2"/>
              <w:right w:val="single" w:color="D1C4E9" w:sz="1"/>
            </w:tcBorders>
            <w:shd w:fill="EDE7F6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4527A0"/>
                <w:sz w:val="15"/>
                <w:szCs w:val="15"/>
              </w:rPr>
              <w:t xml:space="preserve">Lake Formation</w:t>
            </w:r>
          </w:p>
        </w:tc>
      </w:tr>
    </w:tbl>
    <w:p>
      <w:pPr>
        <w:spacing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4527A0" w:sz="2"/>
              <w:left w:val="none" w:color="FFFFFF" w:sz="0"/>
              <w:bottom w:val="single" w:color="4527A0" w:sz="2"/>
              <w:right w:val="single" w:color="D1C4E9" w:sz="1"/>
            </w:tcBorders>
            <w:shd w:fill="EDE7F6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4527A0"/>
                <w:sz w:val="15"/>
                <w:szCs w:val="15"/>
              </w:rPr>
              <w:t xml:space="preserve">Athena)</w:t>
            </w:r>
          </w:p>
        </w:tc>
        <w:tc>
          <w:tcPr>
            <w:tcW w:type="dxa" w:w="1560"/>
            <w:tcBorders>
              <w:top w:val="single" w:color="4527A0" w:sz="2"/>
              <w:left w:val="none" w:color="FFFFFF" w:sz="0"/>
              <w:bottom w:val="single" w:color="4527A0" w:sz="2"/>
              <w:right w:val="single" w:color="D1C4E9" w:sz="1"/>
            </w:tcBorders>
            <w:shd w:fill="EDE7F6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4527A0"/>
                <w:sz w:val="15"/>
                <w:szCs w:val="15"/>
              </w:rPr>
              <w:t xml:space="preserve">Azure (Synapse</w:t>
            </w:r>
          </w:p>
        </w:tc>
        <w:tc>
          <w:tcPr>
            <w:tcW w:type="dxa" w:w="1560"/>
            <w:tcBorders>
              <w:top w:val="single" w:color="4527A0" w:sz="2"/>
              <w:left w:val="none" w:color="FFFFFF" w:sz="0"/>
              <w:bottom w:val="single" w:color="4527A0" w:sz="2"/>
              <w:right w:val="single" w:color="D1C4E9" w:sz="1"/>
            </w:tcBorders>
            <w:shd w:fill="EDE7F6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4527A0"/>
                <w:sz w:val="15"/>
                <w:szCs w:val="15"/>
              </w:rPr>
              <w:t xml:space="preserve">Data Factory</w:t>
            </w:r>
          </w:p>
        </w:tc>
        <w:tc>
          <w:tcPr>
            <w:tcW w:type="dxa" w:w="1560"/>
            <w:tcBorders>
              <w:top w:val="single" w:color="4527A0" w:sz="2"/>
              <w:left w:val="none" w:color="FFFFFF" w:sz="0"/>
              <w:bottom w:val="single" w:color="4527A0" w:sz="2"/>
              <w:right w:val="single" w:color="D1C4E9" w:sz="1"/>
            </w:tcBorders>
            <w:shd w:fill="EDE7F6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4527A0"/>
                <w:sz w:val="15"/>
                <w:szCs w:val="15"/>
              </w:rPr>
              <w:t xml:space="preserve">ADLS)</w:t>
            </w:r>
          </w:p>
        </w:tc>
        <w:tc>
          <w:tcPr>
            <w:tcW w:type="dxa" w:w="1560"/>
            <w:tcBorders>
              <w:top w:val="single" w:color="4527A0" w:sz="2"/>
              <w:left w:val="none" w:color="FFFFFF" w:sz="0"/>
              <w:bottom w:val="single" w:color="4527A0" w:sz="2"/>
              <w:right w:val="single" w:color="D1C4E9" w:sz="1"/>
            </w:tcBorders>
            <w:shd w:fill="EDE7F6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4527A0"/>
                <w:sz w:val="15"/>
                <w:szCs w:val="15"/>
              </w:rPr>
              <w:t xml:space="preserve">GCP (BigQuery</w:t>
            </w:r>
          </w:p>
        </w:tc>
        <w:tc>
          <w:tcPr>
            <w:tcW w:type="dxa" w:w="1560"/>
            <w:tcBorders>
              <w:top w:val="single" w:color="4527A0" w:sz="2"/>
              <w:left w:val="none" w:color="FFFFFF" w:sz="0"/>
              <w:bottom w:val="single" w:color="4527A0" w:sz="2"/>
              <w:right w:val="single" w:color="D1C4E9" w:sz="1"/>
            </w:tcBorders>
            <w:shd w:fill="EDE7F6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4527A0"/>
                <w:sz w:val="15"/>
                <w:szCs w:val="15"/>
              </w:rPr>
              <w:t xml:space="preserve">Dataflow)</w:t>
            </w:r>
          </w:p>
        </w:tc>
      </w:tr>
    </w:tbl>
    <w:p>
      <w:pPr>
        <w:spacing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4527A0" w:sz="2"/>
              <w:left w:val="none" w:color="FFFFFF" w:sz="0"/>
              <w:bottom w:val="single" w:color="4527A0" w:sz="2"/>
              <w:right w:val="single" w:color="D1C4E9" w:sz="1"/>
            </w:tcBorders>
            <w:shd w:fill="EDE7F6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4527A0"/>
                <w:sz w:val="15"/>
                <w:szCs w:val="15"/>
              </w:rPr>
              <w:t xml:space="preserve">Snowflake (Snowpark</w:t>
            </w:r>
          </w:p>
        </w:tc>
        <w:tc>
          <w:tcPr>
            <w:tcW w:type="dxa" w:w="1560"/>
            <w:tcBorders>
              <w:top w:val="single" w:color="4527A0" w:sz="2"/>
              <w:left w:val="none" w:color="FFFFFF" w:sz="0"/>
              <w:bottom w:val="single" w:color="4527A0" w:sz="2"/>
              <w:right w:val="single" w:color="D1C4E9" w:sz="1"/>
            </w:tcBorders>
            <w:shd w:fill="EDE7F6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4527A0"/>
                <w:sz w:val="15"/>
                <w:szCs w:val="15"/>
              </w:rPr>
              <w:t xml:space="preserve">Data Sharing</w:t>
            </w:r>
          </w:p>
        </w:tc>
        <w:tc>
          <w:tcPr>
            <w:tcW w:type="dxa" w:w="1560"/>
            <w:tcBorders>
              <w:top w:val="single" w:color="4527A0" w:sz="2"/>
              <w:left w:val="none" w:color="FFFFFF" w:sz="0"/>
              <w:bottom w:val="single" w:color="4527A0" w:sz="2"/>
              <w:right w:val="single" w:color="D1C4E9" w:sz="1"/>
            </w:tcBorders>
            <w:shd w:fill="EDE7F6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4527A0"/>
                <w:sz w:val="15"/>
                <w:szCs w:val="15"/>
              </w:rPr>
              <w:t xml:space="preserve">Marketplace)</w:t>
            </w:r>
          </w:p>
        </w:tc>
        <w:tc>
          <w:tcPr>
            <w:tcW w:type="dxa" w:w="1560"/>
            <w:tcBorders>
              <w:top w:val="single" w:color="4527A0" w:sz="2"/>
              <w:left w:val="none" w:color="FFFFFF" w:sz="0"/>
              <w:bottom w:val="single" w:color="4527A0" w:sz="2"/>
              <w:right w:val="single" w:color="D1C4E9" w:sz="1"/>
            </w:tcBorders>
            <w:shd w:fill="EDE7F6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4527A0"/>
                <w:sz w:val="15"/>
                <w:szCs w:val="15"/>
              </w:rPr>
              <w:t xml:space="preserve">Apache Spark</w:t>
            </w:r>
          </w:p>
        </w:tc>
        <w:tc>
          <w:tcPr>
            <w:tcW w:type="dxa" w:w="1560"/>
            <w:tcBorders>
              <w:top w:val="single" w:color="4527A0" w:sz="2"/>
              <w:left w:val="none" w:color="FFFFFF" w:sz="0"/>
              <w:bottom w:val="single" w:color="4527A0" w:sz="2"/>
              <w:right w:val="single" w:color="D1C4E9" w:sz="1"/>
            </w:tcBorders>
            <w:shd w:fill="EDE7F6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4527A0"/>
                <w:sz w:val="15"/>
                <w:szCs w:val="15"/>
              </w:rPr>
              <w:t xml:space="preserve">Databricks</w:t>
            </w:r>
          </w:p>
        </w:tc>
        <w:tc>
          <w:tcPr>
            <w:tcW w:type="dxa" w:w="1560"/>
            <w:tcBorders>
              <w:top w:val="single" w:color="4527A0" w:sz="2"/>
              <w:left w:val="none" w:color="FFFFFF" w:sz="0"/>
              <w:bottom w:val="single" w:color="4527A0" w:sz="2"/>
              <w:right w:val="single" w:color="D1C4E9" w:sz="1"/>
            </w:tcBorders>
            <w:shd w:fill="EDE7F6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4527A0"/>
                <w:sz w:val="15"/>
                <w:szCs w:val="15"/>
              </w:rPr>
              <w:t xml:space="preserve">Hive</w:t>
            </w:r>
          </w:p>
        </w:tc>
      </w:tr>
    </w:tbl>
    <w:p>
      <w:pPr>
        <w:spacing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4527A0" w:sz="2"/>
              <w:left w:val="none" w:color="FFFFFF" w:sz="0"/>
              <w:bottom w:val="single" w:color="4527A0" w:sz="2"/>
              <w:right w:val="single" w:color="D1C4E9" w:sz="1"/>
            </w:tcBorders>
            <w:shd w:fill="EDE7F6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4527A0"/>
                <w:sz w:val="15"/>
                <w:szCs w:val="15"/>
              </w:rPr>
              <w:t xml:space="preserve">Presto</w:t>
            </w:r>
          </w:p>
        </w:tc>
        <w:tc>
          <w:tcPr>
            <w:tcW w:type="dxa" w:w="1560"/>
            <w:tcBorders>
              <w:top w:val="single" w:color="4527A0" w:sz="2"/>
              <w:left w:val="none" w:color="FFFFFF" w:sz="0"/>
              <w:bottom w:val="single" w:color="4527A0" w:sz="2"/>
              <w:right w:val="single" w:color="D1C4E9" w:sz="1"/>
            </w:tcBorders>
            <w:shd w:fill="EDE7F6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4527A0"/>
                <w:sz w:val="15"/>
                <w:szCs w:val="15"/>
              </w:rPr>
              <w:t xml:space="preserve">Delta Lake</w:t>
            </w:r>
          </w:p>
        </w:tc>
        <w:tc>
          <w:tcPr>
            <w:tcW w:type="dxa" w:w="1560"/>
            <w:tcBorders>
              <w:top w:val="single" w:color="4527A0" w:sz="2"/>
              <w:left w:val="none" w:color="FFFFFF" w:sz="0"/>
              <w:bottom w:val="single" w:color="4527A0" w:sz="2"/>
              <w:right w:val="single" w:color="D1C4E9" w:sz="1"/>
            </w:tcBorders>
            <w:shd w:fill="EDE7F6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4527A0"/>
                <w:sz w:val="15"/>
                <w:szCs w:val="15"/>
              </w:rPr>
              <w:t xml:space="preserve">Teradata</w:t>
            </w:r>
          </w:p>
        </w:tc>
        <w:tc>
          <w:tcPr>
            <w:tcW w:type="dxa" w:w="1560"/>
            <w:tcBorders>
              <w:top w:val="single" w:color="4527A0" w:sz="2"/>
              <w:left w:val="none" w:color="FFFFFF" w:sz="0"/>
              <w:bottom w:val="single" w:color="4527A0" w:sz="2"/>
              <w:right w:val="single" w:color="D1C4E9" w:sz="1"/>
            </w:tcBorders>
            <w:shd w:fill="EDE7F6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4527A0"/>
                <w:sz w:val="15"/>
                <w:szCs w:val="15"/>
              </w:rPr>
              <w:t xml:space="preserve">Oracle 19c/12c</w:t>
            </w:r>
          </w:p>
        </w:tc>
        <w:tc>
          <w:tcPr>
            <w:tcW w:type="dxa" w:w="1560"/>
            <w:tcBorders>
              <w:top w:val="single" w:color="4527A0" w:sz="2"/>
              <w:left w:val="none" w:color="FFFFFF" w:sz="0"/>
              <w:bottom w:val="single" w:color="4527A0" w:sz="2"/>
              <w:right w:val="single" w:color="D1C4E9" w:sz="1"/>
            </w:tcBorders>
            <w:shd w:fill="EDE7F6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4527A0"/>
                <w:sz w:val="15"/>
                <w:szCs w:val="15"/>
              </w:rPr>
              <w:t xml:space="preserve">IBM DB2</w:t>
            </w:r>
          </w:p>
        </w:tc>
        <w:tc>
          <w:tcPr>
            <w:tcW w:type="dxa" w:w="1560"/>
            <w:tcBorders>
              <w:top w:val="single" w:color="4527A0" w:sz="2"/>
              <w:left w:val="none" w:color="FFFFFF" w:sz="0"/>
              <w:bottom w:val="single" w:color="4527A0" w:sz="2"/>
              <w:right w:val="single" w:color="D1C4E9" w:sz="1"/>
            </w:tcBorders>
            <w:shd w:fill="EDE7F6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4527A0"/>
                <w:sz w:val="15"/>
                <w:szCs w:val="15"/>
              </w:rPr>
              <w:t xml:space="preserve">SQL Server 2019</w:t>
            </w:r>
          </w:p>
        </w:tc>
      </w:tr>
    </w:tbl>
    <w:p>
      <w:pPr>
        <w:spacing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4527A0" w:sz="2"/>
              <w:left w:val="none" w:color="FFFFFF" w:sz="0"/>
              <w:bottom w:val="single" w:color="4527A0" w:sz="2"/>
              <w:right w:val="single" w:color="D1C4E9" w:sz="1"/>
            </w:tcBorders>
            <w:shd w:fill="EDE7F6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4527A0"/>
                <w:sz w:val="15"/>
                <w:szCs w:val="15"/>
              </w:rPr>
              <w:t xml:space="preserve">MySQL</w:t>
            </w:r>
          </w:p>
        </w:tc>
        <w:tc>
          <w:tcPr>
            <w:tcW w:type="dxa" w:w="1560"/>
            <w:tcBorders>
              <w:top w:val="single" w:color="4527A0" w:sz="2"/>
              <w:left w:val="none" w:color="FFFFFF" w:sz="0"/>
              <w:bottom w:val="single" w:color="4527A0" w:sz="2"/>
              <w:right w:val="single" w:color="D1C4E9" w:sz="1"/>
            </w:tcBorders>
            <w:shd w:fill="EDE7F6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4527A0"/>
                <w:sz w:val="15"/>
                <w:szCs w:val="15"/>
              </w:rPr>
              <w:t xml:space="preserve">PostgreSQL</w:t>
            </w:r>
          </w:p>
        </w:tc>
        <w:tc>
          <w:tcPr>
            <w:tcW w:type="dxa" w:w="1560"/>
            <w:tcBorders>
              <w:top w:val="single" w:color="4527A0" w:sz="2"/>
              <w:left w:val="none" w:color="FFFFFF" w:sz="0"/>
              <w:bottom w:val="single" w:color="4527A0" w:sz="2"/>
              <w:right w:val="single" w:color="D1C4E9" w:sz="1"/>
            </w:tcBorders>
            <w:shd w:fill="EDE7F6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4527A0"/>
                <w:sz w:val="15"/>
                <w:szCs w:val="15"/>
              </w:rPr>
              <w:t xml:space="preserve">MongoDB</w:t>
            </w:r>
          </w:p>
        </w:tc>
        <w:tc>
          <w:tcPr>
            <w:tcW w:type="dxa" w:w="1560"/>
            <w:tcBorders>
              <w:top w:val="single" w:color="4527A0" w:sz="2"/>
              <w:left w:val="none" w:color="FFFFFF" w:sz="0"/>
              <w:bottom w:val="single" w:color="4527A0" w:sz="2"/>
              <w:right w:val="single" w:color="D1C4E9" w:sz="1"/>
            </w:tcBorders>
            <w:shd w:fill="EDE7F6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4527A0"/>
                <w:sz w:val="15"/>
                <w:szCs w:val="15"/>
              </w:rPr>
              <w:t xml:space="preserve">MicroStrategy 2021</w:t>
            </w:r>
          </w:p>
        </w:tc>
        <w:tc>
          <w:tcPr>
            <w:tcW w:type="dxa" w:w="1560"/>
            <w:tcBorders>
              <w:top w:val="single" w:color="4527A0" w:sz="2"/>
              <w:left w:val="none" w:color="FFFFFF" w:sz="0"/>
              <w:bottom w:val="single" w:color="4527A0" w:sz="2"/>
              <w:right w:val="single" w:color="D1C4E9" w:sz="1"/>
            </w:tcBorders>
            <w:shd w:fill="EDE7F6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4527A0"/>
                <w:sz w:val="15"/>
                <w:szCs w:val="15"/>
              </w:rPr>
              <w:t xml:space="preserve">SAP BusinessObjects</w:t>
            </w:r>
          </w:p>
        </w:tc>
        <w:tc>
          <w:tcPr>
            <w:tcW w:type="dxa" w:w="1560"/>
            <w:tcBorders>
              <w:top w:val="single" w:color="4527A0" w:sz="2"/>
              <w:left w:val="none" w:color="FFFFFF" w:sz="0"/>
              <w:bottom w:val="single" w:color="4527A0" w:sz="2"/>
              <w:right w:val="single" w:color="D1C4E9" w:sz="1"/>
            </w:tcBorders>
            <w:shd w:fill="EDE7F6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4527A0"/>
                <w:sz w:val="15"/>
                <w:szCs w:val="15"/>
              </w:rPr>
              <w:t xml:space="preserve">Tableau</w:t>
            </w:r>
          </w:p>
        </w:tc>
      </w:tr>
    </w:tbl>
    <w:p>
      <w:pPr>
        <w:spacing w:after="20"/>
      </w:pPr>
    </w:p>
    <w:p>
      <w:pPr>
        <w:spacing w:before="200" w:after="80"/>
      </w:pPr>
      <w:r>
        <w:rPr>
          <w:rFonts w:ascii="Segoe UI" w:cs="Segoe UI" w:eastAsia="Segoe UI" w:hAnsi="Segoe UI"/>
          <w:b/>
          <w:bCs/>
          <w:color w:val="4527A0"/>
          <w:sz w:val="24"/>
          <w:szCs w:val="24"/>
        </w:rPr>
        <w:t xml:space="preserve">▍ EXPERIENCE</w:t>
      </w:r>
    </w:p>
    <w:p>
      <w:pPr>
        <w:shd w:fill="EDE7F6" w:val="clear"/>
        <w:spacing w:before="130" w:after="30"/>
      </w:pPr>
      <w:r>
        <w:rPr>
          <w:rFonts w:ascii="Segoe UI" w:cs="Segoe UI" w:eastAsia="Segoe UI" w:hAnsi="Segoe UI"/>
          <w:b/>
          <w:bCs/>
          <w:color w:val="4527A0"/>
          <w:sz w:val="19"/>
          <w:szCs w:val="19"/>
        </w:rPr>
        <w:t xml:space="preserve"> Enterprise Data Warehouse Architect @ ExxonMobil Corporation | June 2019 – Present | Irving, TX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Segoe UI" w:cs="Segoe UI" w:eastAsia="Segoe UI" w:hAnsi="Segoe UI"/>
          <w:sz w:val="17"/>
          <w:szCs w:val="17"/>
        </w:rPr>
        <w:t xml:space="preserve">Led ExxonMobil's Downstream Data Platform Modernization program, architecting migration of 12PB Teradata Vantage EDW (Enterprise Data Warehouse) to Snowflake and AWS Redshift Serverless, serving 4,800+ business users across Refining, Fuels Marketing, Lubricants, and Chemical businesses.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Segoe UI" w:cs="Segoe UI" w:eastAsia="Segoe UI" w:hAnsi="Segoe UI"/>
          <w:sz w:val="17"/>
          <w:szCs w:val="17"/>
        </w:rPr>
        <w:t xml:space="preserve">Designed Snowflake multi-cluster architecture for ExxonMobil with 8 separate Snowflake accounts for business domains (Refining Analytics, Supply &amp; Trading, Retail Fuels, Lubricants, Chemical, Finance, HR, Safety), implementing Snowflake Data Sharing for cross-domain analytics and automated resource governance.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Segoe UI" w:cs="Segoe UI" w:eastAsia="Segoe UI" w:hAnsi="Segoe UI"/>
          <w:sz w:val="17"/>
          <w:szCs w:val="17"/>
        </w:rPr>
        <w:t xml:space="preserve">Migrated 2,200+ Ab Initio and Informatica ETL jobs to AWS Glue, Databricks, and dbt, implementing Waterfall-to-Agile DataOps transformation for ExxonMobil's integrated planning and supply chain analytics supporting $300B+ annual revenue operations.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Segoe UI" w:cs="Segoe UI" w:eastAsia="Segoe UI" w:hAnsi="Segoe UI"/>
          <w:sz w:val="17"/>
          <w:szCs w:val="17"/>
        </w:rPr>
        <w:t xml:space="preserve">Built ExxonMobil's real-time hydrocarbon inventory management platform on Snowflake Dynamic Tables and Databricks Delta Live Tables, processing 18M daily pipeline measurement readings, terminal inventory updates, and tanker tracking events with 5-minute data freshness.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Segoe UI" w:cs="Segoe UI" w:eastAsia="Segoe UI" w:hAnsi="Segoe UI"/>
          <w:sz w:val="17"/>
          <w:szCs w:val="17"/>
        </w:rPr>
        <w:t xml:space="preserve">Architected ExxonMobil Integrated Planning Data Hub connecting SAP S/4HANA, SAP APO, and 45 legacy systems into unified planning lakehouse on Snowflake and AWS S3, enabling real-time crude oil lifting scheduling and refinery yield optimization analytics.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Segoe UI" w:cs="Segoe UI" w:eastAsia="Segoe UI" w:hAnsi="Segoe UI"/>
          <w:sz w:val="17"/>
          <w:szCs w:val="17"/>
        </w:rPr>
        <w:t xml:space="preserve">Led MicroStrategy-to-Power BI migration for ExxonMobil's 4,200 reports and dashboards, implementing enterprise semantic model on Snowflake using dbt Semantic Layer with automated regression testing ensuring 100% metric consistency post-migration.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Segoe UI" w:cs="Segoe UI" w:eastAsia="Segoe UI" w:hAnsi="Segoe UI"/>
          <w:sz w:val="17"/>
          <w:szCs w:val="17"/>
        </w:rPr>
        <w:t xml:space="preserve">Implemented ExxonMobil's ESG data reporting platform on Snowflake, ingesting operational emissions, water usage, and safety metrics from 85 global refinery and chemical plant sites, generating automated GHG Protocol Scope 1/2/3 disclosures for SEC climate reporting.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Segoe UI" w:cs="Segoe UI" w:eastAsia="Segoe UI" w:hAnsi="Segoe UI"/>
          <w:sz w:val="17"/>
          <w:szCs w:val="17"/>
        </w:rPr>
        <w:t xml:space="preserve">Built ExxonMobil energy trading analytics using Snowflake Snowpark Python and custom ML models, processing real-time crude futures, nat gas spreads, and crack spread data from ICE and CME exchanges, enabling automated margin optimization for $85B trading book.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Segoe UI" w:cs="Segoe UI" w:eastAsia="Segoe UI" w:hAnsi="Segoe UI"/>
          <w:sz w:val="17"/>
          <w:szCs w:val="17"/>
        </w:rPr>
        <w:t xml:space="preserve">Designed enterprise data quality framework using Great Expectations, Monte Carlo, and custom Teradata/Snowflake stored procedures, establishing 6,400+ automated data quality rules across ExxonMobil's finance, supply chain, and manufacturing domains with SAP data reconciliation.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Segoe UI" w:cs="Segoe UI" w:eastAsia="Segoe UI" w:hAnsi="Segoe UI"/>
          <w:sz w:val="17"/>
          <w:szCs w:val="17"/>
        </w:rPr>
        <w:t xml:space="preserve">Managed $31M ExxonMobil data platform budget, negotiating Snowflake Enterprise contract saving $7.2M over 3 years, leading vendor selection for Collibra data governance platform, and driving 43% reduction in legacy Teradata hardware maintenance costs.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Segoe UI" w:cs="Segoe UI" w:eastAsia="Segoe UI" w:hAnsi="Segoe UI"/>
          <w:sz w:val="17"/>
          <w:szCs w:val="17"/>
        </w:rPr>
        <w:t xml:space="preserve">Environment: Teradata Vantage 17, Snowflake Enterprise, Ab Initio GDE, Informatica PowerCenter, AWS Redshift, S3, Glue, Databricks, Delta Lake, dbt Cloud, Python, MicroStrategy 2021, Power BI, SAP S/4HANA, SAP APO, Collibra, ERWIN</w:t>
      </w:r>
    </w:p>
    <w:p>
      <w:pPr>
        <w:spacing w:after="60"/>
      </w:pPr>
    </w:p>
    <w:p>
      <w:pPr>
        <w:shd w:fill="EDE7F6" w:val="clear"/>
        <w:spacing w:before="130" w:after="30"/>
      </w:pPr>
      <w:r>
        <w:rPr>
          <w:rFonts w:ascii="Segoe UI" w:cs="Segoe UI" w:eastAsia="Segoe UI" w:hAnsi="Segoe UI"/>
          <w:b/>
          <w:bCs/>
          <w:color w:val="4527A0"/>
          <w:sz w:val="19"/>
          <w:szCs w:val="19"/>
        </w:rPr>
        <w:t xml:space="preserve"> Senior Data Warehouse Engineer @ AT&amp;T Inc. | March 2014 – May 2019 | Dallas, TX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Segoe UI" w:cs="Segoe UI" w:eastAsia="Segoe UI" w:hAnsi="Segoe UI"/>
          <w:sz w:val="17"/>
          <w:szCs w:val="17"/>
        </w:rPr>
        <w:t xml:space="preserve">Built AT&amp;T Network Analytics Teradata EDW managing 8.5PB of call detail records (CDRs), network performance counters, and customer usage data from 4G/LTE and fiber networks serving 230M US subscribers, processing 280B daily records for billing, network optimization, and regulatory reporting.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Segoe UI" w:cs="Segoe UI" w:eastAsia="Segoe UI" w:hAnsi="Segoe UI"/>
          <w:sz w:val="17"/>
          <w:szCs w:val="17"/>
        </w:rPr>
        <w:t xml:space="preserve">Designed AT&amp;T's Customer Intelligence Hub on IBM Netezza, integrating wireless, wireline, DirecTV, and internet service customer profiles into unified golden record using probabilistic entity matching, supporting AT&amp;T's cross-sell marketing platform generating $1.4B incremental revenue.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Segoe UI" w:cs="Segoe UI" w:eastAsia="Segoe UI" w:hAnsi="Segoe UI"/>
          <w:sz w:val="17"/>
          <w:szCs w:val="17"/>
        </w:rPr>
        <w:t xml:space="preserve">Engineered AT&amp;T's CPNI (Customer Proprietary Network Information) compliance data pipeline using Informatica and custom Python, automating FCC-required data separation and access controls for 230M customer records with automated annual certification reporting.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Segoe UI" w:cs="Segoe UI" w:eastAsia="Segoe UI" w:hAnsi="Segoe UI"/>
          <w:sz w:val="17"/>
          <w:szCs w:val="17"/>
        </w:rPr>
        <w:t xml:space="preserve">Led AT&amp;T's network capacity analytics transformation migrating IBM DataStage ETL to Informatica PowerCenter, processing 24M daily network element performance counters from 400,000+ cell towers, switches, and routers across AT&amp;T's national network infrastructure.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Segoe UI" w:cs="Segoe UI" w:eastAsia="Segoe UI" w:hAnsi="Segoe UI"/>
          <w:sz w:val="17"/>
          <w:szCs w:val="17"/>
        </w:rPr>
        <w:t xml:space="preserve">Built AT&amp;T Advertising Analytics platform on Teradata, processing DirecTV viewership data with wireless subscriber behavioral signals for cross-screen audience targeting across 90M addressable households for Xandr advertising platform.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Segoe UI" w:cs="Segoe UI" w:eastAsia="Segoe UI" w:hAnsi="Segoe UI"/>
          <w:sz w:val="17"/>
          <w:szCs w:val="17"/>
        </w:rPr>
        <w:t xml:space="preserve">Environment: Teradata 15/16, IBM Netezza, Informatica PowerCenter 10.x, Ab Initio GDE, IBM DataStage 11.7, SSIS, Oracle 12c, SQL Server, MicroStrategy, Tableau, Python, BTEQ, TPT</w:t>
      </w:r>
    </w:p>
    <w:p>
      <w:pPr>
        <w:spacing w:after="60"/>
      </w:pPr>
    </w:p>
    <w:p>
      <w:pPr>
        <w:shd w:fill="EDE7F6" w:val="clear"/>
        <w:spacing w:before="130" w:after="30"/>
      </w:pPr>
      <w:r>
        <w:rPr>
          <w:rFonts w:ascii="Segoe UI" w:cs="Segoe UI" w:eastAsia="Segoe UI" w:hAnsi="Segoe UI"/>
          <w:b/>
          <w:bCs/>
          <w:color w:val="4527A0"/>
          <w:sz w:val="19"/>
          <w:szCs w:val="19"/>
        </w:rPr>
        <w:t xml:space="preserve"> Data Warehouse Developer @ American Airlines | August 2010 – February 2014 | Fort Worth, TX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Segoe UI" w:cs="Segoe UI" w:eastAsia="Segoe UI" w:hAnsi="Segoe UI"/>
          <w:sz w:val="17"/>
          <w:szCs w:val="17"/>
        </w:rPr>
        <w:t xml:space="preserve">Built American Airlines Revenue Management DW on Teradata, processing 2.5M daily booking and fare class transactions from GDS (Sabre, Travelport, Amadeus) enabling real-time seat availability and dynamic pricing for 500+ daily departures from DFW hub.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Segoe UI" w:cs="Segoe UI" w:eastAsia="Segoe UI" w:hAnsi="Segoe UI"/>
          <w:sz w:val="17"/>
          <w:szCs w:val="17"/>
        </w:rPr>
        <w:t xml:space="preserve">Developed Informatica ETL pipelines for American Airlines operations analytics, processing ACARS aircraft messages, maintenance work orders, and crew scheduling data to optimize $2.1B annual maintenance MRO spend.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Segoe UI" w:cs="Segoe UI" w:eastAsia="Segoe UI" w:hAnsi="Segoe UI"/>
          <w:sz w:val="17"/>
          <w:szCs w:val="17"/>
        </w:rPr>
        <w:t xml:space="preserve">Designed SAS-based customer value scoring framework on Teradata, segmenting 80M AAdvantage loyalty members into 24 behavioral segments for targeted direct marketing campaigns with 18% improvement in response rate versus previous RFM models.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Segoe UI" w:cs="Segoe UI" w:eastAsia="Segoe UI" w:hAnsi="Segoe UI"/>
          <w:sz w:val="17"/>
          <w:szCs w:val="17"/>
        </w:rPr>
        <w:t xml:space="preserve">Environment: Teradata 13, Informatica PowerCenter 9.6, Oracle 11g, SAS Base/Enterprise Guide, MicroStrategy, Cognos Analytics</w:t>
      </w:r>
    </w:p>
    <w:p>
      <w:pPr>
        <w:spacing w:after="60"/>
      </w:pPr>
    </w:p>
    <w:p>
      <w:pPr>
        <w:shd w:fill="EDE7F6" w:val="clear"/>
        <w:spacing w:before="130" w:after="30"/>
      </w:pPr>
      <w:r>
        <w:rPr>
          <w:rFonts w:ascii="Segoe UI" w:cs="Segoe UI" w:eastAsia="Segoe UI" w:hAnsi="Segoe UI"/>
          <w:b/>
          <w:bCs/>
          <w:color w:val="4527A0"/>
          <w:sz w:val="19"/>
          <w:szCs w:val="19"/>
        </w:rPr>
        <w:t xml:space="preserve"> ETL Developer @ Wipro Technologies | August 2008 – July 2010 | Hyderabad, India / Onsite US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Segoe UI" w:cs="Segoe UI" w:eastAsia="Segoe UI" w:hAnsi="Segoe UI"/>
          <w:sz w:val="17"/>
          <w:szCs w:val="17"/>
        </w:rPr>
        <w:t xml:space="preserve">Developed Informatica ETL workflows for US insurance clients' policy administration and claims DW systems, processing 500K+ daily transactions with automated reconciliation against source system record counts.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Segoe UI" w:cs="Segoe UI" w:eastAsia="Segoe UI" w:hAnsi="Segoe UI"/>
          <w:sz w:val="17"/>
          <w:szCs w:val="17"/>
        </w:rPr>
        <w:t xml:space="preserve">Built financial regulatory reporting pipelines for a top-10 US bank using SSIS and SQL Server, generating automated Call Report, Y-9C, and HMDA submissions to Federal Reserve, OCC, and FFIEC.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Segoe UI" w:cs="Segoe UI" w:eastAsia="Segoe UI" w:hAnsi="Segoe UI"/>
          <w:sz w:val="17"/>
          <w:szCs w:val="17"/>
        </w:rPr>
        <w:t xml:space="preserve">Environment: Informatica PowerCenter 8.6, SQL Server 2008, Oracle 10g, Teradata, SSIS, Cognos 8</w:t>
      </w:r>
    </w:p>
    <w:p>
      <w:pPr>
        <w:spacing w:after="60"/>
      </w:pPr>
    </w:p>
    <w:p>
      <w:pPr>
        <w:spacing w:before="200" w:after="80"/>
      </w:pPr>
      <w:r>
        <w:rPr>
          <w:rFonts w:ascii="Segoe UI" w:cs="Segoe UI" w:eastAsia="Segoe UI" w:hAnsi="Segoe UI"/>
          <w:b/>
          <w:bCs/>
          <w:color w:val="4527A0"/>
          <w:sz w:val="24"/>
          <w:szCs w:val="24"/>
        </w:rPr>
        <w:t xml:space="preserve">▍ EDUCATION</w:t>
      </w:r>
    </w:p>
    <w:p>
      <w:pPr>
        <w:spacing w:after="60"/>
      </w:pPr>
      <w:r>
        <w:rPr>
          <w:rFonts w:ascii="Segoe UI" w:cs="Segoe UI" w:eastAsia="Segoe UI" w:hAnsi="Segoe UI"/>
          <w:sz w:val="18"/>
          <w:szCs w:val="18"/>
        </w:rPr>
        <w:t xml:space="preserve">M.Tech Information Technology | IIT Delhi | 2006–2008</w:t>
      </w:r>
    </w:p>
    <w:p>
      <w:pPr>
        <w:spacing w:after="60"/>
      </w:pPr>
      <w:r>
        <w:rPr>
          <w:rFonts w:ascii="Segoe UI" w:cs="Segoe UI" w:eastAsia="Segoe UI" w:hAnsi="Segoe UI"/>
          <w:sz w:val="18"/>
          <w:szCs w:val="18"/>
        </w:rPr>
        <w:t xml:space="preserve">B.E. Computer Science | Osmania University | 2002–2006</w:t>
      </w:r>
    </w:p>
    <w:p>
      <w:pPr>
        <w:spacing w:before="200" w:after="80"/>
      </w:pPr>
      <w:r>
        <w:rPr>
          <w:rFonts w:ascii="Segoe UI" w:cs="Segoe UI" w:eastAsia="Segoe UI" w:hAnsi="Segoe UI"/>
          <w:b/>
          <w:bCs/>
          <w:color w:val="4527A0"/>
          <w:sz w:val="24"/>
          <w:szCs w:val="24"/>
        </w:rPr>
        <w:t xml:space="preserve">▍ CERTIFICATIONS</w:t>
      </w:r>
    </w:p>
    <w:p>
      <w:r>
        <w:rPr>
          <w:rFonts w:ascii="Segoe UI" w:cs="Segoe UI" w:eastAsia="Segoe UI" w:hAnsi="Segoe UI"/>
          <w:sz w:val="17"/>
          <w:szCs w:val="17"/>
        </w:rPr>
        <w:t xml:space="preserve">Teradata Vantage Certified Expert | Snowflake SnowPro Advanced: Data Engineer | Informatica Certified PowerCenter Developer | AWS Certified Data Analytics | Azure Data Engineer Associate</w:t>
      </w:r>
    </w:p>
    <w:sectPr>
      <w:pgSz w:w="12240" w:h="15840" w:orient="portrait"/>
      <w:pgMar w:top="0" w:right="108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40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00" w:hanging="24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00" w:hanging="24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▶"/>
      <w:lvlJc w:val="left"/>
      <w:pPr>
        <w:ind w:left="400" w:hanging="240"/>
      </w:p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2026-03-13T10:53:05.466Z</dcterms:created>
  <dcterms:modified xsi:type="dcterms:W3CDTF">2026-03-13T10:53:05.466Z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