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FFFFFF" w:sz="0"/>
          <w:left w:val="none" w:color="FFFFFF" w:sz="0"/>
          <w:bottom w:val="single" w:color="2D3748" w:sz="12"/>
          <w:right w:val="none" w:color="FFFFFF" w:sz="0"/>
          <w:insideH w:val="single" w:color="auto" w:sz="4"/>
          <w:insideV w:val="single" w:color="auto" w:sz="4"/>
        </w:tblBorders>
      </w:tblPr>
      <w:tblGrid>
        <w:gridCol w:w="6096"/>
        <w:gridCol w:w="4415"/>
      </w:tblGrid>
      <w:tr>
        <w:tc>
          <w:tcPr>
            <w:tcW w:type="dxa" w:w="6096"/>
            <w:tcBorders>
              <w:top w:val="none" w:color="FFFFFF" w:sz="0"/>
              <w:left w:val="none" w:color="FFFFFF" w:sz="0"/>
              <w:bottom w:val="none" w:color="FFFFFF" w:sz="0"/>
              <w:right w:val="none" w:color="FFFFFF" w:sz="0"/>
            </w:tcBorders>
            <w:tcMar>
              <w:top w:type="dxa" w:w="0"/>
              <w:left w:type="dxa" w:w="0"/>
              <w:bottom w:type="dxa" w:w="120"/>
              <w:right w:type="dxa" w:w="0"/>
            </w:tcMar>
          </w:tcPr>
          <w:p>
            <w:pPr>
              <w:spacing w:before="0" w:after="20"/>
            </w:pPr>
            <w:r>
              <w:rPr>
                <w:rFonts w:ascii="Arial" w:cs="Arial" w:eastAsia="Arial" w:hAnsi="Arial"/>
                <w:b/>
                <w:bCs/>
                <w:color w:val="2D3748"/>
                <w:sz w:val="42"/>
                <w:szCs w:val="42"/>
              </w:rPr>
              <w:t xml:space="preserve">HIROSHI TANAKA</w:t>
            </w:r>
          </w:p>
          <w:p>
            <w:pPr>
              <w:spacing w:before="0" w:after="10"/>
            </w:pPr>
            <w:r>
              <w:rPr>
                <w:rFonts w:ascii="Arial" w:cs="Arial" w:eastAsia="Arial" w:hAnsi="Arial"/>
                <w:i/>
                <w:iCs/>
                <w:color w:val="4A6FA5"/>
                <w:sz w:val="20"/>
                <w:szCs w:val="20"/>
              </w:rPr>
              <w:t xml:space="preserve">Performance &amp; Reliability Engineer | Gatling | Dynatrace | SRE | Cloud</w:t>
            </w:r>
          </w:p>
          <w:p>
            <w:pPr>
              <w:spacing w:before="0" w:after="0"/>
            </w:pPr>
            <w:r>
              <w:rPr>
                <w:rFonts w:ascii="Arial" w:cs="Arial" w:eastAsia="Arial" w:hAnsi="Arial"/>
                <w:color w:val="666666"/>
                <w:sz w:val="19"/>
                <w:szCs w:val="19"/>
              </w:rPr>
              <w:t xml:space="preserve">11+ Years of Experience  |  Seattle, WA</w:t>
            </w:r>
          </w:p>
        </w:tc>
        <w:tc>
          <w:tcPr>
            <w:tcW w:type="dxa" w:w="4415"/>
            <w:tcBorders>
              <w:top w:val="none" w:color="FFFFFF" w:sz="0"/>
              <w:left w:val="none" w:color="FFFFFF" w:sz="0"/>
              <w:bottom w:val="none" w:color="FFFFFF" w:sz="0"/>
              <w:right w:val="none" w:color="FFFFFF" w:sz="0"/>
            </w:tcBorders>
            <w:tcMar>
              <w:top w:type="dxa" w:w="0"/>
              <w:left w:type="dxa" w:w="200"/>
              <w:bottom w:type="dxa" w:w="120"/>
              <w:right w:type="dxa" w:w="0"/>
            </w:tcMar>
            <w:vAlign w:val="bottom"/>
          </w:tcPr>
          <w:p>
            <w:pPr>
              <w:spacing w:before="0" w:after="12"/>
              <w:jc w:val="right"/>
            </w:pPr>
            <w:r>
              <w:rPr>
                <w:rFonts w:ascii="Arial" w:cs="Arial" w:eastAsia="Arial" w:hAnsi="Arial"/>
                <w:color w:val="444444"/>
                <w:sz w:val="18"/>
                <w:szCs w:val="18"/>
              </w:rPr>
              <w:t xml:space="preserve">hiroshi.tanaka.perf@outlook.com</w:t>
            </w:r>
          </w:p>
          <w:p>
            <w:pPr>
              <w:spacing w:before="0" w:after="12"/>
              <w:jc w:val="right"/>
            </w:pPr>
            <w:r>
              <w:rPr>
                <w:rFonts w:ascii="Arial" w:cs="Arial" w:eastAsia="Arial" w:hAnsi="Arial"/>
                <w:color w:val="444444"/>
                <w:sz w:val="18"/>
                <w:szCs w:val="18"/>
              </w:rPr>
              <w:t xml:space="preserve">+1 (206) 554-0192</w:t>
            </w:r>
          </w:p>
          <w:p>
            <w:pPr>
              <w:spacing w:before="0" w:after="12"/>
              <w:jc w:val="right"/>
            </w:pPr>
            <w:r>
              <w:rPr>
                <w:rFonts w:ascii="Arial" w:cs="Arial" w:eastAsia="Arial" w:hAnsi="Arial"/>
                <w:color w:val="4A6FA5"/>
                <w:sz w:val="17"/>
                <w:szCs w:val="17"/>
              </w:rPr>
              <w:t xml:space="preserve">linkedin.com/in/hiroshitanaka-perf</w:t>
            </w:r>
          </w:p>
          <w:p>
            <w:pPr>
              <w:spacing w:before="0" w:after="0"/>
              <w:jc w:val="right"/>
            </w:pPr>
            <w:r>
              <w:rPr>
                <w:rFonts w:ascii="Arial" w:cs="Arial" w:eastAsia="Arial" w:hAnsi="Arial"/>
                <w:color w:val="4A6FA5"/>
                <w:sz w:val="17"/>
                <w:szCs w:val="17"/>
              </w:rPr>
              <w:t xml:space="preserve">github.com/htanaka-perf</w:t>
            </w:r>
          </w:p>
        </w:tc>
      </w:tr>
    </w:tbl>
    <w:p>
      <w:pPr>
        <w:spacing w:before="0" w:after="30"/>
      </w:pPr>
      <w:r>
        <w:t xml:space="preserve"/>
      </w:r>
    </w:p>
    <w:p>
      <w:pPr>
        <w:pBdr>
          <w:bottom w:val="single" w:color="4A6FA5" w:sz="6" w:space="1"/>
        </w:pBdr>
        <w:spacing w:before="100" w:after="40"/>
      </w:pPr>
      <w:r>
        <w:rPr>
          <w:rFonts w:ascii="Arial" w:cs="Arial" w:eastAsia="Arial" w:hAnsi="Arial"/>
          <w:b/>
          <w:bCs/>
          <w:color w:val="2D3748"/>
          <w:sz w:val="22"/>
          <w:szCs w:val="22"/>
        </w:rPr>
        <w:t xml:space="preserve">PROFESSIONAL SUMMARY</w:t>
      </w:r>
    </w:p>
    <w:p>
      <w:pPr>
        <w:spacing w:before="20" w:after="60"/>
      </w:pPr>
      <w:r>
        <w:rPr>
          <w:rFonts w:ascii="Arial" w:cs="Arial" w:eastAsia="Arial" w:hAnsi="Arial"/>
          <w:sz w:val="18"/>
          <w:szCs w:val="18"/>
        </w:rPr>
        <w:t xml:space="preserve">Distinguished Performance &amp; Reliability Engineer with 11+ years delivering performance excellence at Amazon, Microsoft Azure, and Fidelity Investments. Expert in Gatling, k6, JMeter, and distributed load generation architectures. Deep APM expertise with Dynatrace PurePath, AppDynamics, New Relic, and custom OpenTelemetry instrumentation. Conducted capacity planning for Amazon Prime Day (600M+ transactions), validated Microsoft Azure service SLAs under global load, and engineered performance test strategies for Fidelity retirement platform serving 40M accounts. Proficient in distributed tracing, JVM profiling (JProfiler, async-profiler), Linux performance analysis (perf, strace, eBPF), and database query optimization across PostgreSQL, Oracle, and Cassandra. Active SRE practitioner aligning performance engineering with error budget management, SLO definition, and automated performance regression gates in CI/CD. Certified Dynatrace Associate and AWS Certified SysOps Administrator.</w:t>
      </w:r>
    </w:p>
    <w:p>
      <w:pPr>
        <w:pBdr>
          <w:bottom w:val="single" w:color="4A6FA5" w:sz="6" w:space="1"/>
        </w:pBdr>
        <w:spacing w:before="100" w:after="40"/>
      </w:pPr>
      <w:r>
        <w:rPr>
          <w:rFonts w:ascii="Arial" w:cs="Arial" w:eastAsia="Arial" w:hAnsi="Arial"/>
          <w:b/>
          <w:bCs/>
          <w:color w:val="2D3748"/>
          <w:sz w:val="22"/>
          <w:szCs w:val="22"/>
        </w:rPr>
        <w:t xml:space="preserve">TECHNICAL SKILLS</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Performance Tools</w:t>
            </w:r>
          </w:p>
          <w:p>
            <w:pPr>
              <w:spacing w:before="0" w:after="0"/>
            </w:pPr>
            <w:r>
              <w:rPr>
                <w:rFonts w:ascii="Arial" w:cs="Arial" w:eastAsia="Arial" w:hAnsi="Arial"/>
                <w:sz w:val="17"/>
                <w:szCs w:val="17"/>
              </w:rPr>
              <w:t xml:space="preserve">Gatling 3.x (Scala/Java), Apache JMeter 5.x (Advanced), k6, Artillery, Locust, BlazeMeter, AWS DLT, LoadRunner Enterprise</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APM &amp; Monitoring</w:t>
            </w:r>
          </w:p>
          <w:p>
            <w:pPr>
              <w:spacing w:before="0" w:after="0"/>
            </w:pPr>
            <w:r>
              <w:rPr>
                <w:rFonts w:ascii="Arial" w:cs="Arial" w:eastAsia="Arial" w:hAnsi="Arial"/>
                <w:sz w:val="17"/>
                <w:szCs w:val="17"/>
              </w:rPr>
              <w:t xml:space="preserve">Dynatrace (PurePath, Davis AI), AppDynamics, New Relic APM, Datadog APM, Prometheus+Grafana, Jaeger, OpenTelemetry, CloudWatch</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Profiling</w:t>
            </w:r>
          </w:p>
          <w:p>
            <w:pPr>
              <w:spacing w:before="0" w:after="0"/>
            </w:pPr>
            <w:r>
              <w:rPr>
                <w:rFonts w:ascii="Arial" w:cs="Arial" w:eastAsia="Arial" w:hAnsi="Arial"/>
                <w:sz w:val="17"/>
                <w:szCs w:val="17"/>
              </w:rPr>
              <w:t xml:space="preserve">JProfiler, VisualVM, async-profiler (Flame Graphs), Java Flight Recorder, Chrome DevTools, Android Profiler</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Languages</w:t>
            </w:r>
          </w:p>
          <w:p>
            <w:pPr>
              <w:spacing w:before="0" w:after="0"/>
            </w:pPr>
            <w:r>
              <w:rPr>
                <w:rFonts w:ascii="Arial" w:cs="Arial" w:eastAsia="Arial" w:hAnsi="Arial"/>
                <w:sz w:val="17"/>
                <w:szCs w:val="17"/>
              </w:rPr>
              <w:t xml:space="preserve">Java 17, Scala 2.13, Python 3.x, Go, JavaScript, PromQL, SQL, Bash</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Database Perf</w:t>
            </w:r>
          </w:p>
          <w:p>
            <w:pPr>
              <w:spacing w:before="0" w:after="0"/>
            </w:pPr>
            <w:r>
              <w:rPr>
                <w:rFonts w:ascii="Arial" w:cs="Arial" w:eastAsia="Arial" w:hAnsi="Arial"/>
                <w:sz w:val="17"/>
                <w:szCs w:val="17"/>
              </w:rPr>
              <w:t xml:space="preserve">Oracle AWR/ASH, PostgreSQL EXPLAIN, Cassandra nodetool, Redis INFO, MySQL Slow Query</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Cloud &amp; Infra</w:t>
            </w:r>
          </w:p>
          <w:p>
            <w:pPr>
              <w:spacing w:before="0" w:after="0"/>
            </w:pPr>
            <w:r>
              <w:rPr>
                <w:rFonts w:ascii="Arial" w:cs="Arial" w:eastAsia="Arial" w:hAnsi="Arial"/>
                <w:sz w:val="17"/>
                <w:szCs w:val="17"/>
              </w:rPr>
              <w:t xml:space="preserve">AWS (EC2, ECS, CloudWatch, X-Ray, Aurora), Azure Load Testing, GCP Cloud Trace, Kubernetes HPA</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CI/CD</w:t>
            </w:r>
          </w:p>
          <w:p>
            <w:pPr>
              <w:spacing w:before="0" w:after="0"/>
            </w:pPr>
            <w:r>
              <w:rPr>
                <w:rFonts w:ascii="Arial" w:cs="Arial" w:eastAsia="Arial" w:hAnsi="Arial"/>
                <w:sz w:val="17"/>
                <w:szCs w:val="17"/>
              </w:rPr>
              <w:t xml:space="preserve">Jenkins, GitHub Actions, k6 Cloud, Grafana k6 Operator, Azure DevOps Pipelines</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Chaos</w:t>
            </w:r>
          </w:p>
          <w:p>
            <w:pPr>
              <w:spacing w:before="0" w:after="0"/>
            </w:pPr>
            <w:r>
              <w:rPr>
                <w:rFonts w:ascii="Arial" w:cs="Arial" w:eastAsia="Arial" w:hAnsi="Arial"/>
                <w:sz w:val="17"/>
                <w:szCs w:val="17"/>
              </w:rPr>
              <w:t xml:space="preserve">AWS FIS, Gremlin, LitmusChaos, Chaos Toolkit, Chaos Monkey</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Networking</w:t>
            </w:r>
          </w:p>
          <w:p>
            <w:pPr>
              <w:spacing w:before="0" w:after="0"/>
            </w:pPr>
            <w:r>
              <w:rPr>
                <w:rFonts w:ascii="Arial" w:cs="Arial" w:eastAsia="Arial" w:hAnsi="Arial"/>
                <w:sz w:val="17"/>
                <w:szCs w:val="17"/>
              </w:rPr>
              <w:t xml:space="preserve">CDN Testing (Cloudfront, Akamai), HTTP/2 &amp; HTTP/3, TCP Analysis, Wireshark</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SRE</w:t>
            </w:r>
          </w:p>
          <w:p>
            <w:pPr>
              <w:spacing w:before="0" w:after="0"/>
            </w:pPr>
            <w:r>
              <w:rPr>
                <w:rFonts w:ascii="Arial" w:cs="Arial" w:eastAsia="Arial" w:hAnsi="Arial"/>
                <w:sz w:val="17"/>
                <w:szCs w:val="17"/>
              </w:rPr>
              <w:t xml:space="preserve">SLO/SLA Definition, Error Budget, Toil Automation, Runbook Automation, Incident Response</w:t>
            </w:r>
          </w:p>
        </w:tc>
      </w:tr>
    </w:tbl>
    <w:p>
      <w:pPr>
        <w:pBdr>
          <w:bottom w:val="single" w:color="4A6FA5" w:sz="6" w:space="1"/>
        </w:pBdr>
        <w:spacing w:before="100" w:after="40"/>
      </w:pPr>
      <w:r>
        <w:rPr>
          <w:rFonts w:ascii="Arial" w:cs="Arial" w:eastAsia="Arial" w:hAnsi="Arial"/>
          <w:b/>
          <w:bCs/>
          <w:color w:val="2D3748"/>
          <w:sz w:val="22"/>
          <w:szCs w:val="22"/>
        </w:rPr>
        <w:t xml:space="preserve">PROFESSIONAL EXPERIENCE</w:t>
      </w:r>
    </w:p>
    <w:p>
      <w:pPr>
        <w:spacing w:before="80" w:after="10"/>
      </w:pPr>
      <w:r>
        <w:rPr>
          <w:rFonts w:ascii="Arial" w:cs="Arial" w:eastAsia="Arial" w:hAnsi="Arial"/>
          <w:b/>
          <w:bCs/>
          <w:color w:val="2D3748"/>
          <w:sz w:val="21"/>
          <w:szCs w:val="21"/>
        </w:rPr>
        <w:t xml:space="preserve">AMAZON (PRIME &amp; PAYMENTS)</w:t>
      </w:r>
      <w:r>
        <w:rPr>
          <w:rFonts w:ascii="Arial" w:cs="Arial" w:eastAsia="Arial" w:hAnsi="Arial"/>
          <w:color w:val="777777"/>
          <w:sz w:val="18"/>
          <w:szCs w:val="18"/>
        </w:rPr>
        <w:t xml:space="preserve">  —  Seattle, WA  |  Jan 2020–Present</w:t>
      </w:r>
    </w:p>
    <w:p>
      <w:pPr>
        <w:spacing w:before="0" w:after="15"/>
      </w:pPr>
      <w:r>
        <w:rPr>
          <w:rFonts w:ascii="Arial" w:cs="Arial" w:eastAsia="Arial" w:hAnsi="Arial"/>
          <w:b/>
          <w:bCs/>
          <w:color w:val="4A6FA5"/>
          <w:sz w:val="20"/>
          <w:szCs w:val="20"/>
        </w:rPr>
        <w:t xml:space="preserve">Senior Performance Engineer</w:t>
      </w:r>
    </w:p>
    <w:p>
      <w:pPr>
        <w:spacing w:before="0" w:after="15"/>
      </w:pPr>
      <w:r>
        <w:rPr>
          <w:rFonts w:ascii="Arial" w:cs="Arial" w:eastAsia="Arial" w:hAnsi="Arial"/>
          <w:i/>
          <w:iCs/>
          <w:color w:val="555555"/>
          <w:sz w:val="18"/>
          <w:szCs w:val="18"/>
        </w:rPr>
        <w:t xml:space="preserve">Lead performance engineer for Amazon Prime membership, Amazon Pay, and 1-Click checkout platforms supporting the world's largest e-commerce ecosystem.</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and executed Prime Day performance validation simulating 600M+ transactions over 48-hour event window — largest performance test in Amazon retail history.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Gatling Scala performance framework with custom feeders, protocols, and assertions for Amazon Pay checkout API (35K TPS peak SLA).</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Dynatrace PurePath full-stack instrumentation capturing end-to-end latency breakdowns across Lambda, ECS, and Aurora for all checkout flows.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Diagnosed critical JVM heap fragmentation in Prime membership service causing GC pauses during high-load periods — resolved by tuning G1GC parameters, eliminating pause storms.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performance regression gate in GitHub Actions executing nightly Gatling baseline tests with automated pass/fail vs. prior 30-day SLA median.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Conducted soak testing for Amazon Subscribe &amp; Save validating 72-hour sustained throughput at 150% expected peak with &lt;2% error rate.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OpenTelemetry distributed tracing across 22-hop checkout flow enabling millisecond-precision root cause analysis.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AWS X-Ray service map automation validating latency budget allocations across checkout microservices.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chaos performance tests using AWS FIS validating checkout behavior under DynamoDB brownout and Lambda cold-start surge scenarios.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Performed Cassandra cluster performance tuning for Prime membership session store reducing p99 latency from 85ms to 12ms.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Led post-mortem for Prime Day 2021 traffic incident identifying and resolving root cause CDN cache stampede pattern.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capacity forecasting model predicting required ECS task count scaling for holiday events with &lt;8% error margin.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real-user monitoring (RUM) validation comparing synthetic test results to CloudWatch RUM production metrics.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automated performance canary executing scaled-down load tests on every production deployment with rollback trigger.</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Mentored 6 engineers on JVM performance analysis, Gatling scripting, and Dynatrace advanced usage.</w:t>
      </w:r>
    </w:p>
    <w:p>
      <w:pPr>
        <w:spacing w:before="30" w:after="30"/>
      </w:pPr>
      <w:r>
        <w:rPr>
          <w:rFonts w:ascii="Arial" w:cs="Arial" w:eastAsia="Arial" w:hAnsi="Arial"/>
          <w:i/>
          <w:iCs/>
          <w:color w:val="666666"/>
          <w:sz w:val="17"/>
          <w:szCs w:val="17"/>
        </w:rPr>
        <w:t xml:space="preserve">Tools: Gatling 3.x (Scala), k6, JMeter, Dynatrace, OpenTelemetry, AWS (ECS, Lambda, DynamoDB, X-Ray, FIS), GitHub Actions, Cassandra, Grafana, async-profiler</w:t>
      </w:r>
    </w:p>
    <w:p>
      <w:pPr>
        <w:spacing w:before="80" w:after="10"/>
      </w:pPr>
      <w:r>
        <w:rPr>
          <w:rFonts w:ascii="Arial" w:cs="Arial" w:eastAsia="Arial" w:hAnsi="Arial"/>
          <w:b/>
          <w:bCs/>
          <w:color w:val="2D3748"/>
          <w:sz w:val="21"/>
          <w:szCs w:val="21"/>
        </w:rPr>
        <w:t xml:space="preserve">MICROSOFT AZURE</w:t>
      </w:r>
      <w:r>
        <w:rPr>
          <w:rFonts w:ascii="Arial" w:cs="Arial" w:eastAsia="Arial" w:hAnsi="Arial"/>
          <w:color w:val="777777"/>
          <w:sz w:val="18"/>
          <w:szCs w:val="18"/>
        </w:rPr>
        <w:t xml:space="preserve">  —  Redmond, WA  |  Mar 2016–Dec 2019</w:t>
      </w:r>
    </w:p>
    <w:p>
      <w:pPr>
        <w:spacing w:before="0" w:after="15"/>
      </w:pPr>
      <w:r>
        <w:rPr>
          <w:rFonts w:ascii="Arial" w:cs="Arial" w:eastAsia="Arial" w:hAnsi="Arial"/>
          <w:b/>
          <w:bCs/>
          <w:color w:val="4A6FA5"/>
          <w:sz w:val="20"/>
          <w:szCs w:val="20"/>
        </w:rPr>
        <w:t xml:space="preserve">Performance &amp; Reliability Engineer</w:t>
      </w:r>
    </w:p>
    <w:p>
      <w:pPr>
        <w:spacing w:before="0" w:after="15"/>
      </w:pPr>
      <w:r>
        <w:rPr>
          <w:rFonts w:ascii="Arial" w:cs="Arial" w:eastAsia="Arial" w:hAnsi="Arial"/>
          <w:i/>
          <w:iCs/>
          <w:color w:val="555555"/>
          <w:sz w:val="18"/>
          <w:szCs w:val="18"/>
        </w:rPr>
        <w:t xml:space="preserve">Performance engineer for Microsoft Azure Storage, Azure Cosmos DB, and Azure Monitor services ensuring globally distributed SLA compliance.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distributed k6 load testing framework executing 10M+ RPS against Azure Blob Storage endpoints validating 99.9% availability SLA under sustained load.</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automated Azure Cosmos DB performance validation testing RU/s consumption, partition hotspot detection, and cross-region consistency latency.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Conducted Azure Monitor alerting pipeline performance testing validating sub-60-second metric ingestion and alert trigger latency.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CDN edge cache performance testing validating Azure Front Door HIT ratios, TTL behavior, and origin shield effectiveness.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Python-based automated SLO/SLA compliance reporting comparing actual measured availability to contractual commitments across 6 Azure regions.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Led performance engineering for Azure Monitor Metrics ingestion pipeline handling 5 billion metrics per day.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Azure Load Testing service integration for automated weekly regression baseline testing.</w:t>
      </w:r>
    </w:p>
    <w:p>
      <w:pPr>
        <w:spacing w:before="30" w:after="30"/>
      </w:pPr>
      <w:r>
        <w:rPr>
          <w:rFonts w:ascii="Arial" w:cs="Arial" w:eastAsia="Arial" w:hAnsi="Arial"/>
          <w:i/>
          <w:iCs/>
          <w:color w:val="666666"/>
          <w:sz w:val="17"/>
          <w:szCs w:val="17"/>
        </w:rPr>
        <w:t xml:space="preserve">Tools: k6, JMeter, AppDynamics, Azure Load Testing, Python, Prometheus, Grafana, Azure Monitor, Cosmos DB</w:t>
      </w:r>
    </w:p>
    <w:p>
      <w:pPr>
        <w:spacing w:before="80" w:after="10"/>
      </w:pPr>
      <w:r>
        <w:rPr>
          <w:rFonts w:ascii="Arial" w:cs="Arial" w:eastAsia="Arial" w:hAnsi="Arial"/>
          <w:b/>
          <w:bCs/>
          <w:color w:val="2D3748"/>
          <w:sz w:val="21"/>
          <w:szCs w:val="21"/>
        </w:rPr>
        <w:t xml:space="preserve">FIDELITY INVESTMENTS</w:t>
      </w:r>
      <w:r>
        <w:rPr>
          <w:rFonts w:ascii="Arial" w:cs="Arial" w:eastAsia="Arial" w:hAnsi="Arial"/>
          <w:color w:val="777777"/>
          <w:sz w:val="18"/>
          <w:szCs w:val="18"/>
        </w:rPr>
        <w:t xml:space="preserve">  —  Boston, MA  |  Jul 2013–Feb 2016</w:t>
      </w:r>
    </w:p>
    <w:p>
      <w:pPr>
        <w:spacing w:before="0" w:after="15"/>
      </w:pPr>
      <w:r>
        <w:rPr>
          <w:rFonts w:ascii="Arial" w:cs="Arial" w:eastAsia="Arial" w:hAnsi="Arial"/>
          <w:b/>
          <w:bCs/>
          <w:color w:val="4A6FA5"/>
          <w:sz w:val="20"/>
          <w:szCs w:val="20"/>
        </w:rPr>
        <w:t xml:space="preserve">QA Performance Analyst</w:t>
      </w:r>
    </w:p>
    <w:p>
      <w:pPr>
        <w:spacing w:before="0" w:after="15"/>
      </w:pPr>
      <w:r>
        <w:rPr>
          <w:rFonts w:ascii="Arial" w:cs="Arial" w:eastAsia="Arial" w:hAnsi="Arial"/>
          <w:i/>
          <w:iCs/>
          <w:color w:val="555555"/>
          <w:sz w:val="18"/>
          <w:szCs w:val="18"/>
        </w:rPr>
        <w:t xml:space="preserve">Performance QA analyst for Fidelity's retirement account management and trading platforms.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Executed JMeter load tests for NetBenefits 401(k) platform simulating 1M concurrent participants during open enrollment.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performance baseline documentation for Fidelity brokerage trading system validating market-open spike tolerance.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Analyzed Oracle AWR reports identifying top SQL statements contributing to query degradation under load.</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Conducted endurance testing for Fidelity Go robo-advisor validating 30-day continuous operation stability.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Supported StreetScape trading platform performance analysis during high-volatility market events.</w:t>
      </w:r>
    </w:p>
    <w:p>
      <w:pPr>
        <w:spacing w:before="30" w:after="30"/>
      </w:pPr>
      <w:r>
        <w:rPr>
          <w:rFonts w:ascii="Arial" w:cs="Arial" w:eastAsia="Arial" w:hAnsi="Arial"/>
          <w:i/>
          <w:iCs/>
          <w:color w:val="666666"/>
          <w:sz w:val="17"/>
          <w:szCs w:val="17"/>
        </w:rPr>
        <w:t xml:space="preserve">Tools: JMeter, HP LoadRunner, Oracle AWR, AppDynamics, SQL Server, Jenkins</w:t>
      </w:r>
    </w:p>
    <w:p>
      <w:pPr>
        <w:pBdr>
          <w:bottom w:val="single" w:color="4A6FA5" w:sz="6" w:space="1"/>
        </w:pBdr>
        <w:spacing w:before="100" w:after="40"/>
      </w:pPr>
      <w:r>
        <w:rPr>
          <w:rFonts w:ascii="Arial" w:cs="Arial" w:eastAsia="Arial" w:hAnsi="Arial"/>
          <w:b/>
          <w:bCs/>
          <w:color w:val="2D3748"/>
          <w:sz w:val="22"/>
          <w:szCs w:val="22"/>
        </w:rPr>
        <w:t xml:space="preserve">NOTABLE PROJECTS</w:t>
      </w:r>
    </w:p>
    <w:p>
      <w:pPr>
        <w:spacing w:before="50" w:after="10"/>
      </w:pPr>
      <w:r>
        <w:rPr>
          <w:rFonts w:ascii="Arial" w:cs="Arial" w:eastAsia="Arial" w:hAnsi="Arial"/>
          <w:b/>
          <w:bCs/>
          <w:color w:val="4A6FA5"/>
          <w:sz w:val="20"/>
          <w:szCs w:val="20"/>
        </w:rPr>
        <w:t xml:space="preserve">Amazon – Prime Day Performance Engineering Program</w:t>
      </w:r>
    </w:p>
    <w:p>
      <w:pPr>
        <w:spacing w:before="0" w:after="12"/>
      </w:pPr>
      <w:r>
        <w:rPr>
          <w:rFonts w:ascii="Arial" w:cs="Arial" w:eastAsia="Arial" w:hAnsi="Arial"/>
          <w:i/>
          <w:iCs/>
          <w:sz w:val="18"/>
          <w:szCs w:val="18"/>
        </w:rPr>
        <w:t xml:space="preserve">Annual engineering program validating Amazon checkout and Prime membership platform readiness for world's largest shopping event.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8-week pre-event progressive load test program scaling from 25% to 150% projected peak traffic.</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Identified and resolved 18 performance bottlenecks over 5 Prime Days (2020-2024).</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Validated AWS auto-scaling provisioning 50,000 additional ECS tasks within 90 seconds of demand spike.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Zero P0 performance incidents during Prime Day events across 5-year program tenure.</w:t>
      </w:r>
    </w:p>
    <w:p>
      <w:pPr>
        <w:spacing w:before="50" w:after="10"/>
      </w:pPr>
      <w:r>
        <w:rPr>
          <w:rFonts w:ascii="Arial" w:cs="Arial" w:eastAsia="Arial" w:hAnsi="Arial"/>
          <w:b/>
          <w:bCs/>
          <w:color w:val="4A6FA5"/>
          <w:sz w:val="20"/>
          <w:szCs w:val="20"/>
        </w:rPr>
        <w:t xml:space="preserve">Microsoft – Global SLA Validation Framework</w:t>
      </w:r>
    </w:p>
    <w:p>
      <w:pPr>
        <w:spacing w:before="0" w:after="12"/>
      </w:pPr>
      <w:r>
        <w:rPr>
          <w:rFonts w:ascii="Arial" w:cs="Arial" w:eastAsia="Arial" w:hAnsi="Arial"/>
          <w:i/>
          <w:iCs/>
          <w:sz w:val="18"/>
          <w:szCs w:val="18"/>
        </w:rPr>
        <w:t xml:space="preserve">Automated framework continuously validating Azure service SLA compliance across 8 global regions.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Executes 24x7 synthetic load at 5% of peak across all regions detecting regional degradation within 3 minutes.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Integrated with Azure Monitor alerts and PagerDuty for immediate on-call escalation.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Automated monthly SLA compliance reports delivered to executive stakeholders.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Contributed to Azure's 99.99% uptime SLA guarantee credibility with enterprise customers.</w:t>
      </w:r>
    </w:p>
    <w:p>
      <w:pPr>
        <w:pBdr>
          <w:bottom w:val="single" w:color="4A6FA5" w:sz="6" w:space="1"/>
        </w:pBdr>
        <w:spacing w:before="100" w:after="40"/>
      </w:pPr>
      <w:r>
        <w:rPr>
          <w:rFonts w:ascii="Arial" w:cs="Arial" w:eastAsia="Arial" w:hAnsi="Arial"/>
          <w:b/>
          <w:bCs/>
          <w:color w:val="2D3748"/>
          <w:sz w:val="22"/>
          <w:szCs w:val="22"/>
        </w:rPr>
        <w:t xml:space="preserve">EDUCATION &amp; CERTIFICATIONS</w:t>
      </w:r>
    </w:p>
    <w:p>
      <w:pPr>
        <w:spacing w:before="40" w:after="8"/>
      </w:pPr>
      <w:r>
        <w:rPr>
          <w:rFonts w:ascii="Arial" w:cs="Arial" w:eastAsia="Arial" w:hAnsi="Arial"/>
          <w:b/>
          <w:bCs/>
          <w:sz w:val="20"/>
          <w:szCs w:val="20"/>
        </w:rPr>
        <w:t xml:space="preserve">M.S. Computer Science – Systems</w:t>
      </w:r>
      <w:r>
        <w:rPr>
          <w:rFonts w:ascii="Arial" w:cs="Arial" w:eastAsia="Arial" w:hAnsi="Arial"/>
          <w:color w:val="666666"/>
          <w:sz w:val="18"/>
          <w:szCs w:val="18"/>
        </w:rPr>
        <w:t xml:space="preserve">  |  University of Washington  |  Seattle, WA  |  2011–2013</w:t>
      </w:r>
    </w:p>
    <w:p>
      <w:pPr>
        <w:spacing w:before="0" w:after="20"/>
      </w:pPr>
      <w:r>
        <w:rPr>
          <w:rFonts w:ascii="Arial" w:cs="Arial" w:eastAsia="Arial" w:hAnsi="Arial"/>
          <w:i/>
          <w:iCs/>
          <w:sz w:val="17"/>
          <w:szCs w:val="17"/>
        </w:rPr>
        <w:t xml:space="preserve">Research in distributed system performance modeling. Thesis: Predictive Capacity Planning Using Queue Theory for Microservices. GPA 3.9/4.0.</w:t>
      </w:r>
    </w:p>
    <w:p>
      <w:pPr>
        <w:spacing w:before="40" w:after="8"/>
      </w:pPr>
      <w:r>
        <w:rPr>
          <w:rFonts w:ascii="Arial" w:cs="Arial" w:eastAsia="Arial" w:hAnsi="Arial"/>
          <w:b/>
          <w:bCs/>
          <w:sz w:val="20"/>
          <w:szCs w:val="20"/>
        </w:rPr>
        <w:t xml:space="preserve">B.Eng. Information Systems</w:t>
      </w:r>
      <w:r>
        <w:rPr>
          <w:rFonts w:ascii="Arial" w:cs="Arial" w:eastAsia="Arial" w:hAnsi="Arial"/>
          <w:color w:val="666666"/>
          <w:sz w:val="18"/>
          <w:szCs w:val="18"/>
        </w:rPr>
        <w:t xml:space="preserve">  |  Keio University  |  Tokyo, Japan  |  2007–2011</w:t>
      </w:r>
    </w:p>
    <w:p>
      <w:pPr>
        <w:spacing w:before="0" w:after="20"/>
      </w:pPr>
      <w:r>
        <w:rPr>
          <w:rFonts w:ascii="Arial" w:cs="Arial" w:eastAsia="Arial" w:hAnsi="Arial"/>
          <w:i/>
          <w:iCs/>
          <w:sz w:val="17"/>
          <w:szCs w:val="17"/>
        </w:rPr>
        <w:t xml:space="preserve">First Class Honours. Exchange scholar at MIT CSAIL. Software Engineering Club president.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Dynatrace Associate Performance Engineer | 2021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AWS Certified SysOps Administrator – Associate (SOA-C02) | 2021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Gatling Expert Certification | 2021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ISTQB Performance Testing Specialist (CT-PT) | 2018</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Google Cloud Professional DevOps Engineer | 2022</w:t>
      </w:r>
    </w:p>
    <w:p>
      <w:pPr>
        <w:pBdr>
          <w:bottom w:val="single" w:color="4A6FA5" w:sz="6" w:space="1"/>
        </w:pBdr>
        <w:spacing w:before="100" w:after="40"/>
      </w:pPr>
      <w:r>
        <w:rPr>
          <w:rFonts w:ascii="Arial" w:cs="Arial" w:eastAsia="Arial" w:hAnsi="Arial"/>
          <w:b/>
          <w:bCs/>
          <w:color w:val="2D3748"/>
          <w:sz w:val="22"/>
          <w:szCs w:val="22"/>
        </w:rPr>
        <w:t xml:space="preserve">PUBLICATIONS &amp; PROFESSIONAL COMMUNITY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'Diagnosing JVM GC Pressure Under Prime Day Load' – AWS re:Invent Blog, 2022</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'k6 vs Gatling: Enterprise Performance Tool Selection Guide 2023' – InfoQ</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Talk: 'Zero P0 Prime Days: 5 Years of Performance Engineering at Amazon' – Velocity Conf 2023</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Speaker, Velocity Conference 2023 – Amazon Prime Day Performance Engineering</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Dynatrace ACE (Automation &amp; Configuration Expert) Community Member</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Open Source: gatling-aws-plugin library (GitHub 780+ stars)</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2026-03-13T11:40:22.372Z</dcterms:created>
  <dcterms:modified xsi:type="dcterms:W3CDTF">2026-03-13T11:40:22.372Z</dcterms:modified>
</cp:coreProperties>
</file>

<file path=docProps/custom.xml><?xml version="1.0" encoding="utf-8"?>
<Properties xmlns="http://schemas.openxmlformats.org/officeDocument/2006/custom-properties" xmlns:vt="http://schemas.openxmlformats.org/officeDocument/2006/docPropsVTypes"/>
</file>