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jc w:val="center"/>
      </w:pPr>
      <w:r>
        <w:rPr>
          <w:rFonts w:ascii="Arial" w:cs="Arial" w:eastAsia="Arial" w:hAnsi="Arial"/>
          <w:b/>
          <w:bCs/>
          <w:color w:val="1A1A2E"/>
          <w:sz w:val="56"/>
          <w:szCs w:val="56"/>
        </w:rPr>
        <w:t xml:space="preserve">FATIMA AL-RASHIDI</w:t>
      </w:r>
    </w:p>
    <w:p>
      <w:pPr>
        <w:spacing w:before="0" w:after="20"/>
        <w:jc w:val="center"/>
      </w:pPr>
      <w:r>
        <w:rPr>
          <w:rFonts w:ascii="Arial" w:cs="Arial" w:eastAsia="Arial" w:hAnsi="Arial"/>
          <w:i/>
          <w:iCs/>
          <w:color w:val="E94560"/>
          <w:sz w:val="24"/>
          <w:szCs w:val="24"/>
        </w:rPr>
        <w:t xml:space="preserve">QA Lead | Cypress | TypeScript | Healthcare IT | FHIR | Compliance</w:t>
      </w:r>
    </w:p>
    <w:p>
      <w:pPr>
        <w:spacing w:before="0" w:after="50"/>
        <w:jc w:val="center"/>
      </w:pPr>
      <w:r>
        <w:rPr>
          <w:rFonts w:ascii="Arial" w:cs="Arial" w:eastAsia="Arial" w:hAnsi="Arial"/>
          <w:color w:val="555555"/>
          <w:sz w:val="19"/>
          <w:szCs w:val="19"/>
        </w:rPr>
        <w:t xml:space="preserve">fatima.alrashidi.qa@gmail.com   ·   +1 (713) 882-4401   ·   Houston, TX   ·   linkedin.com/in/fatimaalrashidi-qa</w:t>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10512"/>
      </w:tblGrid>
      <w:tr>
        <w:tc>
          <w:tcPr>
            <w:tcW w:type="dxa" w:w="10512"/>
            <w:tcBorders>
              <w:top w:val="none" w:color="FFFFFF" w:sz="0"/>
              <w:left w:val="single" w:color="E94560" w:sz="20"/>
              <w:bottom w:val="none" w:color="FFFFFF" w:sz="0"/>
              <w:right w:val="none" w:color="FFFFFF" w:sz="0"/>
            </w:tcBorders>
            <w:shd w:fill="FFF5F7" w:val="clear"/>
            <w:tcMar>
              <w:top w:type="dxa" w:w="100"/>
              <w:left w:type="dxa" w:w="300"/>
              <w:bottom w:type="dxa" w:w="100"/>
              <w:right w:type="dxa" w:w="200"/>
            </w:tcMar>
          </w:tcPr>
          <w:p>
            <w:pPr>
              <w:spacing w:before="0" w:after="0"/>
            </w:pPr>
            <w:r>
              <w:rPr>
                <w:rFonts w:ascii="Arial" w:cs="Arial" w:eastAsia="Arial" w:hAnsi="Arial"/>
                <w:b/>
                <w:bCs/>
                <w:i/>
                <w:iCs/>
                <w:color w:val="E94560"/>
                <w:sz w:val="22"/>
                <w:szCs w:val="22"/>
              </w:rPr>
              <w:t xml:space="preserve">Ensuring clinical data integrity and regulatory compliance for healthcare platforms serving millions of patients</w:t>
            </w:r>
          </w:p>
        </w:tc>
      </w:tr>
    </w:tbl>
    <w:p>
      <w:pPr>
        <w:spacing w:before="0" w:after="4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10512"/>
      </w:tblGrid>
      <w:tr>
        <w:tc>
          <w:tcPr>
            <w:tcW w:type="dxa" w:w="10512"/>
            <w:tcBorders>
              <w:top w:val="single" w:color="E94560" w:sz="4"/>
              <w:left w:val="single" w:color="DDDDDD" w:sz="4"/>
              <w:bottom w:val="single" w:color="DDDDDD" w:sz="4"/>
              <w:right w:val="single" w:color="DDDDDD" w:sz="4"/>
            </w:tcBorders>
            <w:shd w:fill="FFFFFF" w:val="clear"/>
            <w:tcMar>
              <w:top w:type="dxa" w:w="120"/>
              <w:left w:type="dxa" w:w="300"/>
              <w:bottom w:type="dxa" w:w="120"/>
              <w:right w:type="dxa" w:w="300"/>
            </w:tcMar>
          </w:tcPr>
          <w:p>
            <w:pPr>
              <w:spacing w:before="0" w:after="60"/>
            </w:pPr>
            <w:r>
              <w:rPr>
                <w:rFonts w:ascii="Arial" w:cs="Arial" w:eastAsia="Arial" w:hAnsi="Arial"/>
                <w:b/>
                <w:bCs/>
                <w:color w:val="E94560"/>
                <w:sz w:val="23"/>
                <w:szCs w:val="23"/>
              </w:rPr>
              <w:t xml:space="preserve">PROFESSIONAL SUMMARY</w:t>
            </w:r>
          </w:p>
          <w:p>
            <w:pPr>
              <w:spacing w:before="0" w:after="0"/>
            </w:pPr>
            <w:r>
              <w:rPr>
                <w:rFonts w:ascii="Arial" w:cs="Arial" w:eastAsia="Arial" w:hAnsi="Arial"/>
                <w:sz w:val="19"/>
                <w:szCs w:val="19"/>
              </w:rPr>
              <w:t xml:space="preserve">Results-driven QA Lead with 10+ years of specialized expertise in healthcare IT quality assurance covering Electronic Health Records (EHR), clinical decision support, and patient engagement platforms at Cerner (Oracle Health), HCA Healthcare, and Deloitte. Expert in HL7 FHIR R4 API testing, HIPAA compliance automation, and clinical workflow validation using Cypress, Playwright, and REST Assured. Deep domain knowledge across Epic EHR, Cerner Millennium, and cloud-native digital health platforms. Built comprehensive automated HIPAA compliance test suites, PHI data masking validation frameworks, and Section 508 accessibility testing programs for government health agency clients. Proven expertise in CMS interoperability rule compliance (21st Century Cures Act), prior authorization API testing, and clinical quality measure (CQM) validation. HIPAA Security Officer certification and CPHIMS (Certified Professional in Health Informatics and Information Management) holder.</w:t>
            </w:r>
          </w:p>
        </w:tc>
      </w:tr>
    </w:tbl>
    <w:p>
      <w:pPr>
        <w:spacing w:before="0" w:after="3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10512"/>
      </w:tblGrid>
      <w:tr>
        <w:tc>
          <w:tcPr>
            <w:tcW w:type="dxa" w:w="10512"/>
            <w:tcBorders>
              <w:top w:val="single" w:color="E94560" w:sz="4"/>
              <w:left w:val="single" w:color="DDDDDD" w:sz="4"/>
              <w:bottom w:val="single" w:color="DDDDDD" w:sz="4"/>
              <w:right w:val="single" w:color="DDDDDD" w:sz="4"/>
            </w:tcBorders>
            <w:shd w:fill="FFFFFF" w:val="clear"/>
            <w:tcMar>
              <w:top w:type="dxa" w:w="120"/>
              <w:left w:type="dxa" w:w="300"/>
              <w:bottom w:type="dxa" w:w="120"/>
              <w:right w:type="dxa" w:w="300"/>
            </w:tcMar>
          </w:tcPr>
          <w:p>
            <w:pPr>
              <w:spacing w:before="0" w:after="60"/>
            </w:pPr>
            <w:r>
              <w:rPr>
                <w:rFonts w:ascii="Arial" w:cs="Arial" w:eastAsia="Arial" w:hAnsi="Arial"/>
                <w:b/>
                <w:bCs/>
                <w:color w:val="E94560"/>
                <w:sz w:val="23"/>
                <w:szCs w:val="23"/>
              </w:rPr>
              <w:t xml:space="preserve">CORE COMPETENCIES</w:t>
            </w:r>
          </w:p>
          <w:p>
            <w:pPr>
              <w:spacing w:before="30" w:after="30"/>
            </w:pPr>
            <w:r>
              <w:rPr>
                <w:rFonts w:ascii="Arial" w:cs="Arial" w:eastAsia="Arial" w:hAnsi="Arial"/>
                <w:b/>
                <w:bCs/>
                <w:color w:val="1A1A2E"/>
                <w:sz w:val="19"/>
                <w:szCs w:val="19"/>
              </w:rPr>
              <w:t xml:space="preserve">Test Automation: </w:t>
            </w:r>
            <w:r>
              <w:rPr>
                <w:rFonts w:ascii="Arial" w:cs="Arial" w:eastAsia="Arial" w:hAnsi="Arial"/>
                <w:sz w:val="19"/>
                <w:szCs w:val="19"/>
              </w:rPr>
              <w:t xml:space="preserve">Cypress 13+, Playwright 1.40+, Selenium WebDriver, REST Assured, Karate DSL</w:t>
            </w:r>
          </w:p>
          <w:p>
            <w:pPr>
              <w:spacing w:before="30" w:after="30"/>
            </w:pPr>
            <w:r>
              <w:rPr>
                <w:rFonts w:ascii="Arial" w:cs="Arial" w:eastAsia="Arial" w:hAnsi="Arial"/>
                <w:b/>
                <w:bCs/>
                <w:color w:val="1A1A2E"/>
                <w:sz w:val="19"/>
                <w:szCs w:val="19"/>
              </w:rPr>
              <w:t xml:space="preserve">Languages: </w:t>
            </w:r>
            <w:r>
              <w:rPr>
                <w:rFonts w:ascii="Arial" w:cs="Arial" w:eastAsia="Arial" w:hAnsi="Arial"/>
                <w:sz w:val="19"/>
                <w:szCs w:val="19"/>
              </w:rPr>
              <w:t xml:space="preserve">TypeScript, Java, Python, SQL, HL7 FHIR Path, CQL (Clinical Quality Language)</w:t>
            </w:r>
          </w:p>
          <w:p>
            <w:pPr>
              <w:spacing w:before="30" w:after="30"/>
            </w:pPr>
            <w:r>
              <w:rPr>
                <w:rFonts w:ascii="Arial" w:cs="Arial" w:eastAsia="Arial" w:hAnsi="Arial"/>
                <w:b/>
                <w:bCs/>
                <w:color w:val="1A1A2E"/>
                <w:sz w:val="19"/>
                <w:szCs w:val="19"/>
              </w:rPr>
              <w:t xml:space="preserve">Healthcare APIs: </w:t>
            </w:r>
            <w:r>
              <w:rPr>
                <w:rFonts w:ascii="Arial" w:cs="Arial" w:eastAsia="Arial" w:hAnsi="Arial"/>
                <w:sz w:val="19"/>
                <w:szCs w:val="19"/>
              </w:rPr>
              <w:t xml:space="preserve">HL7 FHIR R4 (SMART on FHIR, CDS Hooks), HL7 v2 ADT/ORM/ORU, IHE Profiles (PIX/PDQ/XDS)</w:t>
            </w:r>
          </w:p>
          <w:p>
            <w:pPr>
              <w:spacing w:before="30" w:after="30"/>
            </w:pPr>
            <w:r>
              <w:rPr>
                <w:rFonts w:ascii="Arial" w:cs="Arial" w:eastAsia="Arial" w:hAnsi="Arial"/>
                <w:b/>
                <w:bCs/>
                <w:color w:val="1A1A2E"/>
                <w:sz w:val="19"/>
                <w:szCs w:val="19"/>
              </w:rPr>
              <w:t xml:space="preserve">Compliance: </w:t>
            </w:r>
            <w:r>
              <w:rPr>
                <w:rFonts w:ascii="Arial" w:cs="Arial" w:eastAsia="Arial" w:hAnsi="Arial"/>
                <w:sz w:val="19"/>
                <w:szCs w:val="19"/>
              </w:rPr>
              <w:t xml:space="preserve">HIPAA Privacy &amp; Security, 21st Century Cures Act, CMS Interoperability Rule, ADA Section 508</w:t>
            </w:r>
          </w:p>
          <w:p>
            <w:pPr>
              <w:spacing w:before="30" w:after="30"/>
            </w:pPr>
            <w:r>
              <w:rPr>
                <w:rFonts w:ascii="Arial" w:cs="Arial" w:eastAsia="Arial" w:hAnsi="Arial"/>
                <w:b/>
                <w:bCs/>
                <w:color w:val="1A1A2E"/>
                <w:sz w:val="19"/>
                <w:szCs w:val="19"/>
              </w:rPr>
              <w:t xml:space="preserve">Clinical Standards: </w:t>
            </w:r>
            <w:r>
              <w:rPr>
                <w:rFonts w:ascii="Arial" w:cs="Arial" w:eastAsia="Arial" w:hAnsi="Arial"/>
                <w:sz w:val="19"/>
                <w:szCs w:val="19"/>
              </w:rPr>
              <w:t xml:space="preserve">ICD-10-CM/PCS, CPT-4, LOINC, SNOMED CT, RxNorm, NCQA HEDIS Measures</w:t>
            </w:r>
          </w:p>
          <w:p>
            <w:pPr>
              <w:spacing w:before="30" w:after="30"/>
            </w:pPr>
            <w:r>
              <w:rPr>
                <w:rFonts w:ascii="Arial" w:cs="Arial" w:eastAsia="Arial" w:hAnsi="Arial"/>
                <w:b/>
                <w:bCs/>
                <w:color w:val="1A1A2E"/>
                <w:sz w:val="19"/>
                <w:szCs w:val="19"/>
              </w:rPr>
              <w:t xml:space="preserve">CI/CD: </w:t>
            </w:r>
            <w:r>
              <w:rPr>
                <w:rFonts w:ascii="Arial" w:cs="Arial" w:eastAsia="Arial" w:hAnsi="Arial"/>
                <w:sz w:val="19"/>
                <w:szCs w:val="19"/>
              </w:rPr>
              <w:t xml:space="preserve">GitHub Actions, Jenkins, Azure Pipelines, Docker, SonarQube</w:t>
            </w:r>
          </w:p>
          <w:p>
            <w:pPr>
              <w:spacing w:before="30" w:after="30"/>
            </w:pPr>
            <w:r>
              <w:rPr>
                <w:rFonts w:ascii="Arial" w:cs="Arial" w:eastAsia="Arial" w:hAnsi="Arial"/>
                <w:b/>
                <w:bCs/>
                <w:color w:val="1A1A2E"/>
                <w:sz w:val="19"/>
                <w:szCs w:val="19"/>
              </w:rPr>
              <w:t xml:space="preserve">Cloud: </w:t>
            </w:r>
            <w:r>
              <w:rPr>
                <w:rFonts w:ascii="Arial" w:cs="Arial" w:eastAsia="Arial" w:hAnsi="Arial"/>
                <w:sz w:val="19"/>
                <w:szCs w:val="19"/>
              </w:rPr>
              <w:t xml:space="preserve">AWS (HealthLake, S3, Lambda, Comprehend Medical), Azure Health Data Services</w:t>
            </w:r>
          </w:p>
          <w:p>
            <w:pPr>
              <w:spacing w:before="30" w:after="30"/>
            </w:pPr>
            <w:r>
              <w:rPr>
                <w:rFonts w:ascii="Arial" w:cs="Arial" w:eastAsia="Arial" w:hAnsi="Arial"/>
                <w:b/>
                <w:bCs/>
                <w:color w:val="1A1A2E"/>
                <w:sz w:val="19"/>
                <w:szCs w:val="19"/>
              </w:rPr>
              <w:t xml:space="preserve">Database: </w:t>
            </w:r>
            <w:r>
              <w:rPr>
                <w:rFonts w:ascii="Arial" w:cs="Arial" w:eastAsia="Arial" w:hAnsi="Arial"/>
                <w:sz w:val="19"/>
                <w:szCs w:val="19"/>
              </w:rPr>
              <w:t xml:space="preserve">Oracle, SQL Server, MongoDB, FHIR Server (HAPI FHIR) Query Testing</w:t>
            </w:r>
          </w:p>
          <w:p>
            <w:pPr>
              <w:spacing w:before="30" w:after="30"/>
            </w:pPr>
            <w:r>
              <w:rPr>
                <w:rFonts w:ascii="Arial" w:cs="Arial" w:eastAsia="Arial" w:hAnsi="Arial"/>
                <w:b/>
                <w:bCs/>
                <w:color w:val="1A1A2E"/>
                <w:sz w:val="19"/>
                <w:szCs w:val="19"/>
              </w:rPr>
              <w:t xml:space="preserve">Security: </w:t>
            </w:r>
            <w:r>
              <w:rPr>
                <w:rFonts w:ascii="Arial" w:cs="Arial" w:eastAsia="Arial" w:hAnsi="Arial"/>
                <w:sz w:val="19"/>
                <w:szCs w:val="19"/>
              </w:rPr>
              <w:t xml:space="preserve">OWASP Healthcare, OAuth 2.0/SMART Auth, FHIR Bulk Data, Break-the-Glass Access Testing</w:t>
            </w:r>
          </w:p>
          <w:p>
            <w:pPr>
              <w:spacing w:before="30" w:after="30"/>
            </w:pPr>
            <w:r>
              <w:rPr>
                <w:rFonts w:ascii="Arial" w:cs="Arial" w:eastAsia="Arial" w:hAnsi="Arial"/>
                <w:b/>
                <w:bCs/>
                <w:color w:val="1A1A2E"/>
                <w:sz w:val="19"/>
                <w:szCs w:val="19"/>
              </w:rPr>
              <w:t xml:space="preserve">Test Management: </w:t>
            </w:r>
            <w:r>
              <w:rPr>
                <w:rFonts w:ascii="Arial" w:cs="Arial" w:eastAsia="Arial" w:hAnsi="Arial"/>
                <w:sz w:val="19"/>
                <w:szCs w:val="19"/>
              </w:rPr>
              <w:t xml:space="preserve">JIRA, TestRail, Azure DevOps, HP ALM, Confluence</w:t>
            </w:r>
          </w:p>
        </w:tc>
      </w:tr>
    </w:tbl>
    <w:p>
      <w:pPr>
        <w:spacing w:before="0" w:after="3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10512"/>
      </w:tblGrid>
      <w:tr>
        <w:tc>
          <w:tcPr>
            <w:tcW w:type="dxa" w:w="10512"/>
            <w:tcBorders>
              <w:top w:val="single" w:color="E94560" w:sz="4"/>
              <w:left w:val="single" w:color="DDDDDD" w:sz="4"/>
              <w:bottom w:val="single" w:color="DDDDDD" w:sz="4"/>
              <w:right w:val="single" w:color="DDDDDD" w:sz="4"/>
            </w:tcBorders>
            <w:shd w:fill="FFFFFF" w:val="clear"/>
            <w:tcMar>
              <w:top w:type="dxa" w:w="120"/>
              <w:left w:type="dxa" w:w="300"/>
              <w:bottom w:type="dxa" w:w="120"/>
              <w:right w:type="dxa" w:w="300"/>
            </w:tcMar>
          </w:tcPr>
          <w:p>
            <w:pPr>
              <w:spacing w:before="0" w:after="60"/>
            </w:pPr>
            <w:r>
              <w:rPr>
                <w:rFonts w:ascii="Arial" w:cs="Arial" w:eastAsia="Arial" w:hAnsi="Arial"/>
                <w:b/>
                <w:bCs/>
                <w:color w:val="E94560"/>
                <w:sz w:val="23"/>
                <w:szCs w:val="23"/>
              </w:rPr>
              <w:t xml:space="preserve">PROFESSIONAL EXPERIENCE</w:t>
            </w:r>
          </w:p>
          <w:p>
            <w:pPr>
              <w:spacing w:before="60" w:after="15"/>
            </w:pPr>
            <w:r>
              <w:rPr>
                <w:rFonts w:ascii="Arial" w:cs="Arial" w:eastAsia="Arial" w:hAnsi="Arial"/>
                <w:b/>
                <w:bCs/>
                <w:color w:val="1A1A2E"/>
                <w:sz w:val="23"/>
                <w:szCs w:val="23"/>
              </w:rPr>
              <w:t xml:space="preserve">Cerner Corporation (Oracle Health)</w:t>
            </w:r>
            <w:r>
              <w:rPr>
                <w:rFonts w:ascii="Arial" w:cs="Arial" w:eastAsia="Arial" w:hAnsi="Arial"/>
                <w:color w:val="777777"/>
                <w:sz w:val="19"/>
                <w:szCs w:val="19"/>
              </w:rPr>
              <w:t xml:space="preserve">  ·  Kansas City, MO (Remote)</w:t>
            </w:r>
          </w:p>
          <w:p>
            <w:pPr>
              <w:spacing w:before="0" w:after="15"/>
            </w:pPr>
            <w:r>
              <w:rPr>
                <w:rFonts w:ascii="Arial" w:cs="Arial" w:eastAsia="Arial" w:hAnsi="Arial"/>
                <w:b/>
                <w:bCs/>
                <w:color w:val="E94560"/>
                <w:sz w:val="21"/>
                <w:szCs w:val="21"/>
              </w:rPr>
              <w:t xml:space="preserve">QA Automation Lead – FHIR Platform</w:t>
            </w:r>
            <w:r>
              <w:rPr>
                <w:rFonts w:ascii="Arial" w:cs="Arial" w:eastAsia="Arial" w:hAnsi="Arial"/>
                <w:i/>
                <w:iCs/>
                <w:color w:val="888888"/>
                <w:sz w:val="19"/>
                <w:szCs w:val="19"/>
              </w:rPr>
              <w:t xml:space="preserve">   Apr 2020–Present</w:t>
            </w:r>
          </w:p>
          <w:p>
            <w:pPr>
              <w:spacing w:before="10" w:after="20"/>
            </w:pPr>
            <w:r>
              <w:rPr>
                <w:rFonts w:ascii="Arial" w:cs="Arial" w:eastAsia="Arial" w:hAnsi="Arial"/>
                <w:i/>
                <w:iCs/>
                <w:color w:val="555555"/>
                <w:sz w:val="19"/>
                <w:szCs w:val="19"/>
              </w:rPr>
              <w:t xml:space="preserve">QA Automation Lead for Cerner's HL7 FHIR R4 API platform and CernerWorks cloud EHR services supporting 27,000 facilities and 1 billion+ patient records globally.</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Architected HL7 FHIR R4 API automation framework using Karate DSL covering all 146 FHIR resource types including Patient, Observation, Condition, MedicationRequest, and DiagnosticReport.</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Designed SMART on FHIR authorization test suite validating standalone launch, EHR launch, and backend service flows across OAuth 2.0 and PKCE grant types.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Built automated 21st Century Cures Act (USCDI) compliance validation ensuring Cerner's APIs met ONC certification requirements for data blocking prohibition.</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Implemented automated PHI data masking validation ensuring all test environments correctly de-identified patient data per HIPAA Safe Harbor method.</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Designed automated CDS Hooks (Clinical Decision Support) integration testing validating clinical decision alerts for drug-drug interactions, allergy warnings, and clinical guidelines.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Built automated CQM (Clinical Quality Measure) calculation validation comparing Cerner's eCQM engine output to independently computed benchmark values.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Implemented automated prior authorization API testing per CMS Interoperability Rule requirements validating PDex Plan Net and Da Vinci guides.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Designed FHIR Bulk Data export testing validating Group-level and System-level exports for population health data access.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Automated HL7 v2 ADT message processing testing validating patient registration, admit, transfer, and discharge event handling.</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Built automated NCQA HEDIS measure calculation validation for preventive care quality reporting.</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Implemented automated Break-the-Glass emergency access testing ensuring audit logging and supervisor notification workflows.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Reduced regression cycle for FHIR API releases from 3 weeks to 4 days enabling monthly certified API releases.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Led 6-member QA team including 2 FHIR API specialists and 4 automation engineers.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Built automated IHE XDS (Cross-Enterprise Document Sharing) integration tests for Cerner's EHR document repository.</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Designed automated medication reconciliation workflow validation testing allergy checking, formulary adherence, and drug dosing alerts.</w:t>
            </w:r>
          </w:p>
          <w:p>
            <w:pPr>
              <w:spacing w:before="20" w:after="40"/>
            </w:pPr>
            <w:r>
              <w:rPr>
                <w:rFonts w:ascii="Arial" w:cs="Arial" w:eastAsia="Arial" w:hAnsi="Arial"/>
                <w:i/>
                <w:iCs/>
                <w:color w:val="777777"/>
                <w:sz w:val="17"/>
                <w:szCs w:val="17"/>
              </w:rPr>
              <w:t xml:space="preserve">Environment: Karate DSL, Cypress, TypeScript, REST Assured, Java, HAPI FHIR Server, Oracle DB, GitHub Actions, Azure Health Data Services, Jenkins</w:t>
            </w:r>
          </w:p>
          <w:p>
            <w:pPr>
              <w:spacing w:before="60" w:after="15"/>
            </w:pPr>
            <w:r>
              <w:rPr>
                <w:rFonts w:ascii="Arial" w:cs="Arial" w:eastAsia="Arial" w:hAnsi="Arial"/>
                <w:b/>
                <w:bCs/>
                <w:color w:val="1A1A2E"/>
                <w:sz w:val="23"/>
                <w:szCs w:val="23"/>
              </w:rPr>
              <w:t xml:space="preserve">HCA Healthcare</w:t>
            </w:r>
            <w:r>
              <w:rPr>
                <w:rFonts w:ascii="Arial" w:cs="Arial" w:eastAsia="Arial" w:hAnsi="Arial"/>
                <w:color w:val="777777"/>
                <w:sz w:val="19"/>
                <w:szCs w:val="19"/>
              </w:rPr>
              <w:t xml:space="preserve">  ·  Nashville, TN</w:t>
            </w:r>
          </w:p>
          <w:p>
            <w:pPr>
              <w:spacing w:before="0" w:after="15"/>
            </w:pPr>
            <w:r>
              <w:rPr>
                <w:rFonts w:ascii="Arial" w:cs="Arial" w:eastAsia="Arial" w:hAnsi="Arial"/>
                <w:b/>
                <w:bCs/>
                <w:color w:val="E94560"/>
                <w:sz w:val="21"/>
                <w:szCs w:val="21"/>
              </w:rPr>
              <w:t xml:space="preserve">Senior QA Automation Engineer</w:t>
            </w:r>
            <w:r>
              <w:rPr>
                <w:rFonts w:ascii="Arial" w:cs="Arial" w:eastAsia="Arial" w:hAnsi="Arial"/>
                <w:i/>
                <w:iCs/>
                <w:color w:val="888888"/>
                <w:sz w:val="19"/>
                <w:szCs w:val="19"/>
              </w:rPr>
              <w:t xml:space="preserve">   May 2016–Mar 2020</w:t>
            </w:r>
          </w:p>
          <w:p>
            <w:pPr>
              <w:spacing w:before="10" w:after="20"/>
            </w:pPr>
            <w:r>
              <w:rPr>
                <w:rFonts w:ascii="Arial" w:cs="Arial" w:eastAsia="Arial" w:hAnsi="Arial"/>
                <w:i/>
                <w:iCs/>
                <w:color w:val="555555"/>
                <w:sz w:val="19"/>
                <w:szCs w:val="19"/>
              </w:rPr>
              <w:t xml:space="preserve">Senior automation engineer for HCA's patient portal, clinical documentation, and revenue cycle management platforms across 180+ hospitals.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Built Selenium automation framework for MyHealthONE patient portal covering appointment scheduling, medical records access, bill pay, and care team messaging.</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Designed REST API automation for HCA's FHIR-enabled patient data access APIs using Rest Assured.</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Implemented automated HIPAA access control testing validating role-based data visibility for clinicians, nurses, administrative staff, and patients.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Conducted JMeter performance testing for HCA's patient portal simulating 500,000 concurrent patient logins during COVID-19 vaccine scheduling surge.</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Automated revenue cycle workflow testing covering charge capture, claim scrubbing, payer adjudication, and remittance posting.</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Built automated ADA Section 508 accessibility testing ensuring patient portal compliance for government healthcare program participants.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Implemented automated HITECH audit log validation ensuring complete PHI access records for compliance investigations.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Designed automated ICD-10 and CPT coding accuracy validation for HCA's clinical documentation improvement platform.</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Supported COVID-19 vaccination management system testing enabling rapid deployment across 180 HCA hospitals in 2020-2021.</w:t>
            </w:r>
          </w:p>
          <w:p>
            <w:pPr>
              <w:spacing w:before="20" w:after="40"/>
            </w:pPr>
            <w:r>
              <w:rPr>
                <w:rFonts w:ascii="Arial" w:cs="Arial" w:eastAsia="Arial" w:hAnsi="Arial"/>
                <w:i/>
                <w:iCs/>
                <w:color w:val="777777"/>
                <w:sz w:val="17"/>
                <w:szCs w:val="17"/>
              </w:rPr>
              <w:t xml:space="preserve">Environment: Selenium, Java, REST Assured, JMeter, Jenkins, Oracle, SQL Server, HP ALM, Docker</w:t>
            </w:r>
          </w:p>
          <w:p>
            <w:pPr>
              <w:spacing w:before="60" w:after="15"/>
            </w:pPr>
            <w:r>
              <w:rPr>
                <w:rFonts w:ascii="Arial" w:cs="Arial" w:eastAsia="Arial" w:hAnsi="Arial"/>
                <w:b/>
                <w:bCs/>
                <w:color w:val="1A1A2E"/>
                <w:sz w:val="23"/>
                <w:szCs w:val="23"/>
              </w:rPr>
              <w:t xml:space="preserve">Deloitte Consulting</w:t>
            </w:r>
            <w:r>
              <w:rPr>
                <w:rFonts w:ascii="Arial" w:cs="Arial" w:eastAsia="Arial" w:hAnsi="Arial"/>
                <w:color w:val="777777"/>
                <w:sz w:val="19"/>
                <w:szCs w:val="19"/>
              </w:rPr>
              <w:t xml:space="preserve">  ·  Houston, TX</w:t>
            </w:r>
          </w:p>
          <w:p>
            <w:pPr>
              <w:spacing w:before="0" w:after="15"/>
            </w:pPr>
            <w:r>
              <w:rPr>
                <w:rFonts w:ascii="Arial" w:cs="Arial" w:eastAsia="Arial" w:hAnsi="Arial"/>
                <w:b/>
                <w:bCs/>
                <w:color w:val="E94560"/>
                <w:sz w:val="21"/>
                <w:szCs w:val="21"/>
              </w:rPr>
              <w:t xml:space="preserve">Healthcare QA Consultant</w:t>
            </w:r>
            <w:r>
              <w:rPr>
                <w:rFonts w:ascii="Arial" w:cs="Arial" w:eastAsia="Arial" w:hAnsi="Arial"/>
                <w:i/>
                <w:iCs/>
                <w:color w:val="888888"/>
                <w:sz w:val="19"/>
                <w:szCs w:val="19"/>
              </w:rPr>
              <w:t xml:space="preserve">   Jan 2014–Apr 2016</w:t>
            </w:r>
          </w:p>
          <w:p>
            <w:pPr>
              <w:spacing w:before="10" w:after="20"/>
            </w:pPr>
            <w:r>
              <w:rPr>
                <w:rFonts w:ascii="Arial" w:cs="Arial" w:eastAsia="Arial" w:hAnsi="Arial"/>
                <w:i/>
                <w:iCs/>
                <w:color w:val="555555"/>
                <w:sz w:val="19"/>
                <w:szCs w:val="19"/>
              </w:rPr>
              <w:t xml:space="preserve">Healthcare technology QA consultant serving federal health agency and large health system clients.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Delivered EHR implementation testing services for state Medicaid Management Information Systems (MMIS) clients.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Conducted HL7 v2 interface testing for state health information exchange (HIE) implementations.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Performed CMS Meaningful Use Stage 2 certification testing for EHR client deployments.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Built automated test scripts for state Medicaid eligibility determination and claims adjudication systems.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Supported federal HITECH program compliance testing for hospital certification submissions.</w:t>
            </w:r>
          </w:p>
          <w:p>
            <w:pPr>
              <w:spacing w:before="20" w:after="40"/>
            </w:pPr>
            <w:r>
              <w:rPr>
                <w:rFonts w:ascii="Arial" w:cs="Arial" w:eastAsia="Arial" w:hAnsi="Arial"/>
                <w:i/>
                <w:iCs/>
                <w:color w:val="777777"/>
                <w:sz w:val="17"/>
                <w:szCs w:val="17"/>
              </w:rPr>
              <w:t xml:space="preserve">Environment: Selenium, Java, Postman, SQL Server, Oracle, HP ALM, Jenkins</w:t>
            </w:r>
          </w:p>
        </w:tc>
      </w:tr>
    </w:tbl>
    <w:p>
      <w:pPr>
        <w:spacing w:before="0" w:after="3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10512"/>
      </w:tblGrid>
      <w:tr>
        <w:tc>
          <w:tcPr>
            <w:tcW w:type="dxa" w:w="10512"/>
            <w:tcBorders>
              <w:top w:val="single" w:color="E94560" w:sz="4"/>
              <w:left w:val="single" w:color="DDDDDD" w:sz="4"/>
              <w:bottom w:val="single" w:color="DDDDDD" w:sz="4"/>
              <w:right w:val="single" w:color="DDDDDD" w:sz="4"/>
            </w:tcBorders>
            <w:shd w:fill="FFFFFF" w:val="clear"/>
            <w:tcMar>
              <w:top w:type="dxa" w:w="120"/>
              <w:left w:type="dxa" w:w="300"/>
              <w:bottom w:type="dxa" w:w="120"/>
              <w:right w:type="dxa" w:w="300"/>
            </w:tcMar>
          </w:tcPr>
          <w:p>
            <w:pPr>
              <w:spacing w:before="0" w:after="60"/>
            </w:pPr>
            <w:r>
              <w:rPr>
                <w:rFonts w:ascii="Arial" w:cs="Arial" w:eastAsia="Arial" w:hAnsi="Arial"/>
                <w:b/>
                <w:bCs/>
                <w:color w:val="E94560"/>
                <w:sz w:val="23"/>
                <w:szCs w:val="23"/>
              </w:rPr>
              <w:t xml:space="preserve">NOTABLE PROJECTS</w:t>
            </w:r>
          </w:p>
          <w:p>
            <w:pPr>
              <w:spacing w:before="40" w:after="12"/>
            </w:pPr>
            <w:r>
              <w:rPr>
                <w:rFonts w:ascii="Arial" w:cs="Arial" w:eastAsia="Arial" w:hAnsi="Arial"/>
                <w:b/>
                <w:bCs/>
                <w:color w:val="1A1A2E"/>
                <w:sz w:val="21"/>
                <w:szCs w:val="21"/>
              </w:rPr>
              <w:t xml:space="preserve">Cerner – FHIR Interoperability Certification Test Suite</w:t>
            </w:r>
          </w:p>
          <w:p>
            <w:pPr>
              <w:spacing w:before="0" w:after="12"/>
            </w:pPr>
            <w:r>
              <w:rPr>
                <w:rFonts w:ascii="Arial" w:cs="Arial" w:eastAsia="Arial" w:hAnsi="Arial"/>
                <w:i/>
                <w:iCs/>
                <w:sz w:val="19"/>
                <w:szCs w:val="19"/>
              </w:rPr>
              <w:t xml:space="preserve">Comprehensive automated test suite supporting Cerner's ONC 21st Century Cures Act FHIR API certification.</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500+ automated FHIR API tests covering all ONC required data elements and operations.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Validated compliance with 8 implementation guides: US Core, PDEX, PDex Plan Net, Da Vinci, Argonaut, SMART, CDS Hooks.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Zero certification defects identified by ONC reviewers attributable to missed test coverage.</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Test suite shared with 3 other FHIR platform vendors through Cerner's open-source program.</w:t>
            </w:r>
          </w:p>
          <w:p>
            <w:pPr>
              <w:spacing w:before="40" w:after="12"/>
            </w:pPr>
            <w:r>
              <w:rPr>
                <w:rFonts w:ascii="Arial" w:cs="Arial" w:eastAsia="Arial" w:hAnsi="Arial"/>
                <w:b/>
                <w:bCs/>
                <w:color w:val="1A1A2E"/>
                <w:sz w:val="21"/>
                <w:szCs w:val="21"/>
              </w:rPr>
              <w:t xml:space="preserve">HCA – COVID-19 Vaccine Management Testing Program</w:t>
            </w:r>
          </w:p>
          <w:p>
            <w:pPr>
              <w:spacing w:before="0" w:after="12"/>
            </w:pPr>
            <w:r>
              <w:rPr>
                <w:rFonts w:ascii="Arial" w:cs="Arial" w:eastAsia="Arial" w:hAnsi="Arial"/>
                <w:i/>
                <w:iCs/>
                <w:sz w:val="19"/>
                <w:szCs w:val="19"/>
              </w:rPr>
              <w:t xml:space="preserve">Emergency testing program enabling rapid deployment of COVID-19 vaccine scheduling and administration tracking across HCA's 180-hospital network.</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Delivered full regression coverage in 72 hours to support emergency EUA deployment timeline.</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Automated vaccine inventory management, dose scheduling, and CDC VXU reporting workflows.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Built automated interface testing between vaccine management and state immunization registries.</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System successfully administered 8 million COVID-19 vaccine doses across HCA network.</w:t>
            </w:r>
          </w:p>
        </w:tc>
      </w:tr>
    </w:tbl>
    <w:p>
      <w:pPr>
        <w:spacing w:before="0" w:after="3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10512"/>
      </w:tblGrid>
      <w:tr>
        <w:tc>
          <w:tcPr>
            <w:tcW w:type="dxa" w:w="10512"/>
            <w:tcBorders>
              <w:top w:val="single" w:color="E94560" w:sz="4"/>
              <w:left w:val="single" w:color="DDDDDD" w:sz="4"/>
              <w:bottom w:val="single" w:color="DDDDDD" w:sz="4"/>
              <w:right w:val="single" w:color="DDDDDD" w:sz="4"/>
            </w:tcBorders>
            <w:shd w:fill="FFFFFF" w:val="clear"/>
            <w:tcMar>
              <w:top w:type="dxa" w:w="120"/>
              <w:left w:type="dxa" w:w="300"/>
              <w:bottom w:type="dxa" w:w="120"/>
              <w:right w:type="dxa" w:w="300"/>
            </w:tcMar>
          </w:tcPr>
          <w:p>
            <w:pPr>
              <w:spacing w:before="0" w:after="60"/>
            </w:pPr>
            <w:r>
              <w:rPr>
                <w:rFonts w:ascii="Arial" w:cs="Arial" w:eastAsia="Arial" w:hAnsi="Arial"/>
                <w:b/>
                <w:bCs/>
                <w:color w:val="E94560"/>
                <w:sz w:val="23"/>
                <w:szCs w:val="23"/>
              </w:rPr>
              <w:t xml:space="preserve">EDUCATION &amp; CERTIFICATIONS</w:t>
            </w:r>
          </w:p>
          <w:p>
            <w:pPr>
              <w:spacing w:before="30" w:after="8"/>
            </w:pPr>
            <w:r>
              <w:rPr>
                <w:rFonts w:ascii="Arial" w:cs="Arial" w:eastAsia="Arial" w:hAnsi="Arial"/>
                <w:b/>
                <w:bCs/>
                <w:sz w:val="21"/>
                <w:szCs w:val="21"/>
              </w:rPr>
              <w:t xml:space="preserve">M.S. Biomedical Informatics</w:t>
            </w:r>
          </w:p>
          <w:p>
            <w:pPr>
              <w:spacing w:before="0" w:after="8"/>
            </w:pPr>
            <w:r>
              <w:rPr>
                <w:rFonts w:ascii="Arial" w:cs="Arial" w:eastAsia="Arial" w:hAnsi="Arial"/>
                <w:color w:val="666666"/>
                <w:sz w:val="19"/>
                <w:szCs w:val="19"/>
              </w:rPr>
              <w:t xml:space="preserve">University of Texas Health Science Center  |  Houston, TX  |  2012–2014</w:t>
            </w:r>
          </w:p>
          <w:p>
            <w:pPr>
              <w:spacing w:before="0" w:after="25"/>
            </w:pPr>
            <w:r>
              <w:rPr>
                <w:rFonts w:ascii="Arial" w:cs="Arial" w:eastAsia="Arial" w:hAnsi="Arial"/>
                <w:i/>
                <w:iCs/>
                <w:sz w:val="18"/>
                <w:szCs w:val="18"/>
              </w:rPr>
              <w:t xml:space="preserve">Research on automated clinical decision support validation methods. Thesis: Automated Quality Testing for CDS Rule Engines in EHR Platforms. GPA 3.92/4.0.</w:t>
            </w:r>
          </w:p>
          <w:p>
            <w:pPr>
              <w:spacing w:before="30" w:after="8"/>
            </w:pPr>
            <w:r>
              <w:rPr>
                <w:rFonts w:ascii="Arial" w:cs="Arial" w:eastAsia="Arial" w:hAnsi="Arial"/>
                <w:b/>
                <w:bCs/>
                <w:sz w:val="21"/>
                <w:szCs w:val="21"/>
              </w:rPr>
              <w:t xml:space="preserve">B.S. Computer Science</w:t>
            </w:r>
          </w:p>
          <w:p>
            <w:pPr>
              <w:spacing w:before="0" w:after="8"/>
            </w:pPr>
            <w:r>
              <w:rPr>
                <w:rFonts w:ascii="Arial" w:cs="Arial" w:eastAsia="Arial" w:hAnsi="Arial"/>
                <w:color w:val="666666"/>
                <w:sz w:val="19"/>
                <w:szCs w:val="19"/>
              </w:rPr>
              <w:t xml:space="preserve">Rice University  |  Houston, TX  |  2008–2012</w:t>
            </w:r>
          </w:p>
          <w:p>
            <w:pPr>
              <w:spacing w:before="0" w:after="25"/>
            </w:pPr>
            <w:r>
              <w:rPr>
                <w:rFonts w:ascii="Arial" w:cs="Arial" w:eastAsia="Arial" w:hAnsi="Arial"/>
                <w:i/>
                <w:iCs/>
                <w:sz w:val="18"/>
                <w:szCs w:val="18"/>
              </w:rPr>
              <w:t xml:space="preserve">Magna Cum Laude. Minor in Computational Biology. Rice University Health Informatics research assistant.</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CPHIMS – Certified Professional in Health Informatics &amp; Information Management | 2018</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HIPAA Security Officer Certification | 2019</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ISTQB Foundation Level (CTFL) | 2015</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AWS Certified Cloud Practitioner (CLF-C02) | 2022</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Karate DSL API Testing Certification | 2021</w:t>
            </w:r>
          </w:p>
        </w:tc>
      </w:tr>
    </w:tbl>
    <w:p>
      <w:pPr>
        <w:spacing w:before="0" w:after="3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10512"/>
      </w:tblGrid>
      <w:tr>
        <w:tc>
          <w:tcPr>
            <w:tcW w:type="dxa" w:w="10512"/>
            <w:tcBorders>
              <w:top w:val="single" w:color="E94560" w:sz="4"/>
              <w:left w:val="single" w:color="DDDDDD" w:sz="4"/>
              <w:bottom w:val="single" w:color="DDDDDD" w:sz="4"/>
              <w:right w:val="single" w:color="DDDDDD" w:sz="4"/>
            </w:tcBorders>
            <w:shd w:fill="FFFFFF" w:val="clear"/>
            <w:tcMar>
              <w:top w:type="dxa" w:w="120"/>
              <w:left w:type="dxa" w:w="300"/>
              <w:bottom w:type="dxa" w:w="120"/>
              <w:right w:type="dxa" w:w="300"/>
            </w:tcMar>
          </w:tcPr>
          <w:p>
            <w:pPr>
              <w:spacing w:before="0" w:after="60"/>
            </w:pPr>
            <w:r>
              <w:rPr>
                <w:rFonts w:ascii="Arial" w:cs="Arial" w:eastAsia="Arial" w:hAnsi="Arial"/>
                <w:b/>
                <w:bCs/>
                <w:color w:val="E94560"/>
                <w:sz w:val="23"/>
                <w:szCs w:val="23"/>
              </w:rPr>
              <w:t xml:space="preserve">PUBLICATIONS, TALKS &amp; COMMUNITY</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'FHIR API Testing at Scale: Lessons from Cerner's 27,000-Facility Platform' – HL7 International Blog, 2022</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'Automating HIPAA Compliance Testing' – Healthcare IT News, 2021</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Talk: 'Quality Engineering for 21st Century Cures Act Compliance' – HIMSS22</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Speaker, HIMSS 2022 – HL7 FHIR Testing Automation</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Member, HL7 International Quality Testing Working Group</w:t>
            </w:r>
          </w:p>
          <w:p>
            <w:pPr>
              <w:spacing w:before="22" w:after="22"/>
              <w:ind w:left="260" w:hanging="180"/>
            </w:pPr>
            <w:r>
              <w:rPr>
                <w:rFonts w:ascii="Arial" w:cs="Arial" w:eastAsia="Arial" w:hAnsi="Arial"/>
                <w:b/>
                <w:bCs/>
                <w:color w:val="E94560"/>
                <w:sz w:val="19"/>
                <w:szCs w:val="19"/>
              </w:rPr>
              <w:t xml:space="preserve">▸  </w:t>
            </w:r>
            <w:r>
              <w:rPr>
                <w:rFonts w:ascii="Arial" w:cs="Arial" w:eastAsia="Arial" w:hAnsi="Arial"/>
                <w:sz w:val="19"/>
                <w:szCs w:val="19"/>
              </w:rPr>
              <w:t xml:space="preserve">Mentor, Women in Health IT Leadership Program</w:t>
            </w:r>
          </w:p>
        </w:tc>
      </w:tr>
    </w:tbl>
    <w:sectPr>
      <w:pgSz w:w="12240" w:h="15840"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2026-03-13T11:40:22.456Z</dcterms:created>
  <dcterms:modified xsi:type="dcterms:W3CDTF">2026-03-13T11:40:22.456Z</dcterms:modified>
</cp:coreProperties>
</file>

<file path=docProps/custom.xml><?xml version="1.0" encoding="utf-8"?>
<Properties xmlns="http://schemas.openxmlformats.org/officeDocument/2006/custom-properties" xmlns:vt="http://schemas.openxmlformats.org/officeDocument/2006/docPropsVTypes"/>
</file>