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12"/>
        <w:tblBorders>
          <w:top w:val="none" w:color="FFFFFF" w:sz="0"/>
          <w:left w:val="none" w:color="FFFFFF" w:sz="0"/>
          <w:bottom w:val="single" w:color="2D3748" w:sz="12"/>
          <w:right w:val="none" w:color="FFFFFF" w:sz="0"/>
          <w:insideH w:val="single" w:color="auto" w:sz="4"/>
          <w:insideV w:val="single" w:color="auto" w:sz="4"/>
        </w:tblBorders>
      </w:tblPr>
      <w:tblGrid>
        <w:gridCol w:w="6096"/>
        <w:gridCol w:w="4415"/>
      </w:tblGrid>
      <w:tr>
        <w:tc>
          <w:tcPr>
            <w:tcW w:type="dxa" w:w="6096"/>
            <w:tcBorders>
              <w:top w:val="none" w:color="FFFFFF" w:sz="0"/>
              <w:left w:val="none" w:color="FFFFFF" w:sz="0"/>
              <w:bottom w:val="none" w:color="FFFFFF" w:sz="0"/>
              <w:right w:val="none" w:color="FFFFFF" w:sz="0"/>
            </w:tcBorders>
            <w:tcMar>
              <w:top w:type="dxa" w:w="0"/>
              <w:left w:type="dxa" w:w="0"/>
              <w:bottom w:type="dxa" w:w="120"/>
              <w:right w:type="dxa" w:w="0"/>
            </w:tcMar>
          </w:tcPr>
          <w:p>
            <w:pPr>
              <w:spacing w:before="0" w:after="20"/>
            </w:pPr>
            <w:r>
              <w:rPr>
                <w:rFonts w:ascii="Arial" w:cs="Arial" w:eastAsia="Arial" w:hAnsi="Arial"/>
                <w:b/>
                <w:bCs/>
                <w:color w:val="2D3748"/>
                <w:sz w:val="42"/>
                <w:szCs w:val="42"/>
              </w:rPr>
              <w:t xml:space="preserve">OSCAR NWACHUKWU</w:t>
            </w:r>
          </w:p>
          <w:p>
            <w:pPr>
              <w:spacing w:before="0" w:after="10"/>
            </w:pPr>
            <w:r>
              <w:rPr>
                <w:rFonts w:ascii="Arial" w:cs="Arial" w:eastAsia="Arial" w:hAnsi="Arial"/>
                <w:i/>
                <w:iCs/>
                <w:color w:val="4A6FA5"/>
                <w:sz w:val="20"/>
                <w:szCs w:val="20"/>
              </w:rPr>
              <w:t xml:space="preserve">QA Automation Engineer | Salesforce | Veeva | Pharma &amp; Life Sciences</w:t>
            </w:r>
          </w:p>
          <w:p>
            <w:pPr>
              <w:spacing w:before="0" w:after="0"/>
            </w:pPr>
            <w:r>
              <w:rPr>
                <w:rFonts w:ascii="Arial" w:cs="Arial" w:eastAsia="Arial" w:hAnsi="Arial"/>
                <w:color w:val="666666"/>
                <w:sz w:val="19"/>
                <w:szCs w:val="19"/>
              </w:rPr>
              <w:t xml:space="preserve">10+ Years of Experience  |  Parsippany, NJ</w:t>
            </w:r>
          </w:p>
        </w:tc>
        <w:tc>
          <w:tcPr>
            <w:tcW w:type="dxa" w:w="4415"/>
            <w:tcBorders>
              <w:top w:val="none" w:color="FFFFFF" w:sz="0"/>
              <w:left w:val="none" w:color="FFFFFF" w:sz="0"/>
              <w:bottom w:val="none" w:color="FFFFFF" w:sz="0"/>
              <w:right w:val="none" w:color="FFFFFF" w:sz="0"/>
            </w:tcBorders>
            <w:tcMar>
              <w:top w:type="dxa" w:w="0"/>
              <w:left w:type="dxa" w:w="200"/>
              <w:bottom w:type="dxa" w:w="120"/>
              <w:right w:type="dxa" w:w="0"/>
            </w:tcMar>
            <w:vAlign w:val="bottom"/>
          </w:tcPr>
          <w:p>
            <w:pPr>
              <w:spacing w:before="0" w:after="12"/>
              <w:jc w:val="right"/>
            </w:pPr>
            <w:r>
              <w:rPr>
                <w:rFonts w:ascii="Arial" w:cs="Arial" w:eastAsia="Arial" w:hAnsi="Arial"/>
                <w:color w:val="444444"/>
                <w:sz w:val="18"/>
                <w:szCs w:val="18"/>
              </w:rPr>
              <w:t xml:space="preserve">oscar.nwachukwu.qa@outlook.com</w:t>
            </w:r>
          </w:p>
          <w:p>
            <w:pPr>
              <w:spacing w:before="0" w:after="12"/>
              <w:jc w:val="right"/>
            </w:pPr>
            <w:r>
              <w:rPr>
                <w:rFonts w:ascii="Arial" w:cs="Arial" w:eastAsia="Arial" w:hAnsi="Arial"/>
                <w:color w:val="444444"/>
                <w:sz w:val="18"/>
                <w:szCs w:val="18"/>
              </w:rPr>
              <w:t xml:space="preserve">+1 (908) 554-7762</w:t>
            </w:r>
          </w:p>
          <w:p>
            <w:pPr>
              <w:spacing w:before="0" w:after="12"/>
              <w:jc w:val="right"/>
            </w:pPr>
            <w:r>
              <w:rPr>
                <w:rFonts w:ascii="Arial" w:cs="Arial" w:eastAsia="Arial" w:hAnsi="Arial"/>
                <w:color w:val="4A6FA5"/>
                <w:sz w:val="17"/>
                <w:szCs w:val="17"/>
              </w:rPr>
              <w:t xml:space="preserve">linkedin.com/in/oscarnwachukwu-qa</w:t>
            </w:r>
          </w:p>
          <w:p>
            <w:pPr>
              <w:spacing w:before="0" w:after="0"/>
              <w:jc w:val="right"/>
            </w:pPr>
            <w:r>
              <w:rPr>
                <w:rFonts w:ascii="Arial" w:cs="Arial" w:eastAsia="Arial" w:hAnsi="Arial"/>
                <w:color w:val="4A6FA5"/>
                <w:sz w:val="17"/>
                <w:szCs w:val="17"/>
              </w:rPr>
              <w:t xml:space="preserve">github.com/onwachukwu-auto</w:t>
            </w:r>
          </w:p>
        </w:tc>
      </w:tr>
    </w:tbl>
    <w:p>
      <w:pPr>
        <w:spacing w:before="0" w:after="30"/>
      </w:pPr>
      <w:r>
        <w:t xml:space="preserve"/>
      </w:r>
    </w:p>
    <w:p>
      <w:pPr>
        <w:pBdr>
          <w:bottom w:val="single" w:color="4A6FA5" w:sz="6" w:space="1"/>
        </w:pBdr>
        <w:spacing w:before="100" w:after="40"/>
      </w:pPr>
      <w:r>
        <w:rPr>
          <w:rFonts w:ascii="Arial" w:cs="Arial" w:eastAsia="Arial" w:hAnsi="Arial"/>
          <w:b/>
          <w:bCs/>
          <w:color w:val="2D3748"/>
          <w:sz w:val="22"/>
          <w:szCs w:val="22"/>
        </w:rPr>
        <w:t xml:space="preserve">PROFESSIONAL SUMMARY</w:t>
      </w:r>
    </w:p>
    <w:p>
      <w:pPr>
        <w:spacing w:before="20" w:after="60"/>
      </w:pPr>
      <w:r>
        <w:rPr>
          <w:rFonts w:ascii="Arial" w:cs="Arial" w:eastAsia="Arial" w:hAnsi="Arial"/>
          <w:sz w:val="18"/>
          <w:szCs w:val="18"/>
        </w:rPr>
        <w:t xml:space="preserve">Dedicated QA Automation Engineer with 10+ years of specialized experience in pharmaceutical, life sciences, and clinical trial platforms with deep expertise in GxP regulatory compliance, computer system validation (CSV), and 21 CFR Part 11 electronic records requirements. Expert in Salesforce Veeva CRM, Veeva Vault (RIM, QMS, CTMS), and clinical data management system testing at Bristol Myers Squibb, Johnson &amp; Johnson, and Cognizant Life Sciences. Proficient in Provar, Selenium, and Playwright automation for Veeva cloud applications. Comprehensive understanding of FDA 21 CFR Part 11, GCP/GLP/GMP validation requirements, and ICH guidelines for software validation. Built IQ/OQ/PQ validation automation frameworks saving 60%+ in manual validation effort for regulated pharmaceutical systems. Expert in clinical data reconciliation, CDASH/CDISC standard validation, and eClinical platform testing.</w:t>
      </w:r>
    </w:p>
    <w:p>
      <w:pPr>
        <w:pBdr>
          <w:bottom w:val="single" w:color="4A6FA5" w:sz="6" w:space="1"/>
        </w:pBdr>
        <w:spacing w:before="100" w:after="40"/>
      </w:pPr>
      <w:r>
        <w:rPr>
          <w:rFonts w:ascii="Arial" w:cs="Arial" w:eastAsia="Arial" w:hAnsi="Arial"/>
          <w:b/>
          <w:bCs/>
          <w:color w:val="2D3748"/>
          <w:sz w:val="22"/>
          <w:szCs w:val="22"/>
        </w:rPr>
        <w:t xml:space="preserve">TECHNICAL SKILLS</w:t>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Platform Testing</w:t>
            </w:r>
          </w:p>
          <w:p>
            <w:pPr>
              <w:spacing w:before="0" w:after="0"/>
            </w:pPr>
            <w:r>
              <w:rPr>
                <w:rFonts w:ascii="Arial" w:cs="Arial" w:eastAsia="Arial" w:hAnsi="Arial"/>
                <w:sz w:val="17"/>
                <w:szCs w:val="17"/>
              </w:rPr>
              <w:t xml:space="preserve">Salesforce Veeva CRM, Veeva Vault (RIM, QMS, CTMS, eTMF, QualityDocs), Veeva PromoMats, Oracle Clinical, Medidata Rave, Oracle Argus Safety</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Automation Tools</w:t>
            </w:r>
          </w:p>
          <w:p>
            <w:pPr>
              <w:spacing w:before="0" w:after="0"/>
            </w:pPr>
            <w:r>
              <w:rPr>
                <w:rFonts w:ascii="Arial" w:cs="Arial" w:eastAsia="Arial" w:hAnsi="Arial"/>
                <w:sz w:val="17"/>
                <w:szCs w:val="17"/>
              </w:rPr>
              <w:t xml:space="preserve">Provar 3.x, Selenium WebDriver, Playwright, Cypress, REST Assured</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Languages</w:t>
            </w:r>
          </w:p>
          <w:p>
            <w:pPr>
              <w:spacing w:before="0" w:after="0"/>
            </w:pPr>
            <w:r>
              <w:rPr>
                <w:rFonts w:ascii="Arial" w:cs="Arial" w:eastAsia="Arial" w:hAnsi="Arial"/>
                <w:sz w:val="17"/>
                <w:szCs w:val="17"/>
              </w:rPr>
              <w:t xml:space="preserve">Java, Python, SQL, TypeScript, VBScript</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Regulatory</w:t>
            </w:r>
          </w:p>
          <w:p>
            <w:pPr>
              <w:spacing w:before="0" w:after="0"/>
            </w:pPr>
            <w:r>
              <w:rPr>
                <w:rFonts w:ascii="Arial" w:cs="Arial" w:eastAsia="Arial" w:hAnsi="Arial"/>
                <w:sz w:val="17"/>
                <w:szCs w:val="17"/>
              </w:rPr>
              <w:t xml:space="preserve">FDA 21 CFR Part 11, ICH Q10/E6/E8, GCP/GLP/GMP, GAMP5, EU Annex 11, ERES (Electronic Records)</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Clinical Standards</w:t>
            </w:r>
          </w:p>
          <w:p>
            <w:pPr>
              <w:spacing w:before="0" w:after="0"/>
            </w:pPr>
            <w:r>
              <w:rPr>
                <w:rFonts w:ascii="Arial" w:cs="Arial" w:eastAsia="Arial" w:hAnsi="Arial"/>
                <w:sz w:val="17"/>
                <w:szCs w:val="17"/>
              </w:rPr>
              <w:t xml:space="preserve">CDISC (CDASH/SDTM/ADaM), HL7 FHIR, MedDRA, WHO Drug Dictionary, ICH E3/E9</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DevOps</w:t>
            </w:r>
          </w:p>
          <w:p>
            <w:pPr>
              <w:spacing w:before="0" w:after="0"/>
            </w:pPr>
            <w:r>
              <w:rPr>
                <w:rFonts w:ascii="Arial" w:cs="Arial" w:eastAsia="Arial" w:hAnsi="Arial"/>
                <w:sz w:val="17"/>
                <w:szCs w:val="17"/>
              </w:rPr>
              <w:t xml:space="preserve">Jenkins, GitHub Actions, Docker, JIRA (GxP Validated), Confluence</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Database</w:t>
            </w:r>
          </w:p>
          <w:p>
            <w:pPr>
              <w:spacing w:before="0" w:after="0"/>
            </w:pPr>
            <w:r>
              <w:rPr>
                <w:rFonts w:ascii="Arial" w:cs="Arial" w:eastAsia="Arial" w:hAnsi="Arial"/>
                <w:sz w:val="17"/>
                <w:szCs w:val="17"/>
              </w:rPr>
              <w:t xml:space="preserve">Oracle, SQL Server, SAS (basic), SAP HANA</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Cloud</w:t>
            </w:r>
          </w:p>
          <w:p>
            <w:pPr>
              <w:spacing w:before="0" w:after="0"/>
            </w:pPr>
            <w:r>
              <w:rPr>
                <w:rFonts w:ascii="Arial" w:cs="Arial" w:eastAsia="Arial" w:hAnsi="Arial"/>
                <w:sz w:val="17"/>
                <w:szCs w:val="17"/>
              </w:rPr>
              <w:t xml:space="preserve">AWS GovCloud (GxP validated), Veeva Network, Salesforce Platform</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226"/>
        <w:gridCol w:w="5286"/>
      </w:tblGrid>
      <w:tr>
        <w:tc>
          <w:tcPr>
            <w:tcW w:type="dxa" w:w="522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CSV Frameworks</w:t>
            </w:r>
          </w:p>
          <w:p>
            <w:pPr>
              <w:spacing w:before="0" w:after="0"/>
            </w:pPr>
            <w:r>
              <w:rPr>
                <w:rFonts w:ascii="Arial" w:cs="Arial" w:eastAsia="Arial" w:hAnsi="Arial"/>
                <w:sz w:val="17"/>
                <w:szCs w:val="17"/>
              </w:rPr>
              <w:t xml:space="preserve">IQ/OQ/PQ Testing, Validation Master Plans, Traceability Matrix, UAT Protocols</w:t>
            </w:r>
          </w:p>
        </w:tc>
        <w:tc>
          <w:tcPr>
            <w:tcW w:type="dxa" w:w="5286"/>
            <w:tcBorders>
              <w:top w:val="none" w:color="FFFFFF" w:sz="0"/>
              <w:left w:val="none" w:color="FFFFFF" w:sz="0"/>
              <w:bottom w:val="none" w:color="FFFFFF" w:sz="0"/>
              <w:right w:val="none" w:color="FFFFFF" w:sz="0"/>
            </w:tcBorders>
            <w:tcMar>
              <w:top w:type="dxa" w:w="30"/>
              <w:left w:type="dxa" w:w="60"/>
              <w:bottom w:type="dxa" w:w="30"/>
              <w:right w:type="dxa" w:w="60"/>
            </w:tcMar>
          </w:tcPr>
          <w:p>
            <w:pPr>
              <w:spacing w:before="0" w:after="8"/>
            </w:pPr>
            <w:r>
              <w:rPr>
                <w:rFonts w:ascii="Arial" w:cs="Arial" w:eastAsia="Arial" w:hAnsi="Arial"/>
                <w:b/>
                <w:bCs/>
                <w:color w:val="2D3748"/>
                <w:sz w:val="18"/>
                <w:szCs w:val="18"/>
              </w:rPr>
              <w:t xml:space="preserve">Test Management</w:t>
            </w:r>
          </w:p>
          <w:p>
            <w:pPr>
              <w:spacing w:before="0" w:after="0"/>
            </w:pPr>
            <w:r>
              <w:rPr>
                <w:rFonts w:ascii="Arial" w:cs="Arial" w:eastAsia="Arial" w:hAnsi="Arial"/>
                <w:sz w:val="17"/>
                <w:szCs w:val="17"/>
              </w:rPr>
              <w:t xml:space="preserve">HP ALM (validated), JIRA (GxP), TestRail, Veeva Vault QMS test scripts</w:t>
            </w:r>
          </w:p>
        </w:tc>
      </w:tr>
    </w:tbl>
    <w:p>
      <w:pPr>
        <w:pBdr>
          <w:bottom w:val="single" w:color="4A6FA5" w:sz="6" w:space="1"/>
        </w:pBdr>
        <w:spacing w:before="100" w:after="40"/>
      </w:pPr>
      <w:r>
        <w:rPr>
          <w:rFonts w:ascii="Arial" w:cs="Arial" w:eastAsia="Arial" w:hAnsi="Arial"/>
          <w:b/>
          <w:bCs/>
          <w:color w:val="2D3748"/>
          <w:sz w:val="22"/>
          <w:szCs w:val="22"/>
        </w:rPr>
        <w:t xml:space="preserve">PROFESSIONAL EXPERIENCE</w:t>
      </w:r>
    </w:p>
    <w:p>
      <w:pPr>
        <w:spacing w:before="80" w:after="10"/>
      </w:pPr>
      <w:r>
        <w:rPr>
          <w:rFonts w:ascii="Arial" w:cs="Arial" w:eastAsia="Arial" w:hAnsi="Arial"/>
          <w:b/>
          <w:bCs/>
          <w:color w:val="2D3748"/>
          <w:sz w:val="21"/>
          <w:szCs w:val="21"/>
        </w:rPr>
        <w:t xml:space="preserve">BRISTOL MYERS SQUIBB</w:t>
      </w:r>
      <w:r>
        <w:rPr>
          <w:rFonts w:ascii="Arial" w:cs="Arial" w:eastAsia="Arial" w:hAnsi="Arial"/>
          <w:color w:val="777777"/>
          <w:sz w:val="18"/>
          <w:szCs w:val="18"/>
        </w:rPr>
        <w:t xml:space="preserve">  —  Princeton, NJ  |  Feb 2020–Present</w:t>
      </w:r>
    </w:p>
    <w:p>
      <w:pPr>
        <w:spacing w:before="0" w:after="15"/>
      </w:pPr>
      <w:r>
        <w:rPr>
          <w:rFonts w:ascii="Arial" w:cs="Arial" w:eastAsia="Arial" w:hAnsi="Arial"/>
          <w:b/>
          <w:bCs/>
          <w:color w:val="4A6FA5"/>
          <w:sz w:val="20"/>
          <w:szCs w:val="20"/>
        </w:rPr>
        <w:t xml:space="preserve">QA Automation Engineer – Veeva &amp; Clinical Systems</w:t>
      </w:r>
    </w:p>
    <w:p>
      <w:pPr>
        <w:spacing w:before="0" w:after="15"/>
      </w:pPr>
      <w:r>
        <w:rPr>
          <w:rFonts w:ascii="Arial" w:cs="Arial" w:eastAsia="Arial" w:hAnsi="Arial"/>
          <w:i/>
          <w:iCs/>
          <w:color w:val="555555"/>
          <w:sz w:val="18"/>
          <w:szCs w:val="18"/>
        </w:rPr>
        <w:t xml:space="preserve">QA automation engineer responsible for computer system validation and test automation for BMS's Veeva cloud platforms, clinical data management systems, and pharmacovigilance applications supporting global drug development programs.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Provar automation framework for BMS's Salesforce Veeva CRM covering medical information requests, sample management, call reporting, and key account management workflows.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automated Veeva Vault RIM (Regulatory Information Management) test suite validating submission publishing, health authority correspondence, and regulatory dossier management workflows.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automated Veeva Vault CTMS validation covering protocol deviation tracking, investigator site management, and clinical trial milestone management.</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FDA 21 CFR Part 11 compliance test automation validating electronic signature capture, audit trail completeness, and data integrity controls for all validated systems.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automated ICH E6(R2) GCP compliance testing validating investigator file completeness and TMF (Trial Master File) artifact management in Veeva eTMF.</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GAMP5 Category 4/5 computer system validation framework with automated IQ/OQ/PQ test execution and automated evidence package generation.</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automated CDISC CDASH clinical data standard validation testing correct form design compliance and data collection alignment for Phase II-III trial eCRFs.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automated Oracle Argus Safety pharmacovigilance testing covering adverse event reporting, ICSR processing, aggregate report generation, and EudraVigilance/FAERS regulatory submissions.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automated drug-drug interaction (DDI) data import validation for BMS's medical information knowledge base.</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automated Veeva PromoMats medical/legal/regulatory review workflow testing for promotional material approval.</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Reduced manual validation effort for CSV-required releases by 63% while maintaining full GxP compliance documentation.</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automated change control impact assessment tool mapping system changes to affected validation test scripts.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Led CSV validation activities for BMS's Veeva Vault quality platform upgrade program spanning 12 vault instances.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Managed QA automation team of 4 engineers with GxP validation expertise.</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automated integration testing between Veeva Vault QMS and BMS's SAP ERP for quality event disposition workflows.</w:t>
      </w:r>
    </w:p>
    <w:p>
      <w:pPr>
        <w:spacing w:before="30" w:after="30"/>
      </w:pPr>
      <w:r>
        <w:rPr>
          <w:rFonts w:ascii="Arial" w:cs="Arial" w:eastAsia="Arial" w:hAnsi="Arial"/>
          <w:i/>
          <w:iCs/>
          <w:color w:val="666666"/>
          <w:sz w:val="17"/>
          <w:szCs w:val="17"/>
        </w:rPr>
        <w:t xml:space="preserve">Tools: Provar 3.x, Salesforce Veeva CRM, Veeva Vault, Oracle Argus, Medidata Rave, REST Assured, Java, Python, Jenkins, Oracle DB, HP ALM (validated)</w:t>
      </w:r>
    </w:p>
    <w:p>
      <w:pPr>
        <w:spacing w:before="80" w:after="10"/>
      </w:pPr>
      <w:r>
        <w:rPr>
          <w:rFonts w:ascii="Arial" w:cs="Arial" w:eastAsia="Arial" w:hAnsi="Arial"/>
          <w:b/>
          <w:bCs/>
          <w:color w:val="2D3748"/>
          <w:sz w:val="21"/>
          <w:szCs w:val="21"/>
        </w:rPr>
        <w:t xml:space="preserve">JOHNSON &amp; JOHNSON</w:t>
      </w:r>
      <w:r>
        <w:rPr>
          <w:rFonts w:ascii="Arial" w:cs="Arial" w:eastAsia="Arial" w:hAnsi="Arial"/>
          <w:color w:val="777777"/>
          <w:sz w:val="18"/>
          <w:szCs w:val="18"/>
        </w:rPr>
        <w:t xml:space="preserve">  —  New Brunswick, NJ  |  Apr 2016–Jan 2020</w:t>
      </w:r>
    </w:p>
    <w:p>
      <w:pPr>
        <w:spacing w:before="0" w:after="15"/>
      </w:pPr>
      <w:r>
        <w:rPr>
          <w:rFonts w:ascii="Arial" w:cs="Arial" w:eastAsia="Arial" w:hAnsi="Arial"/>
          <w:b/>
          <w:bCs/>
          <w:color w:val="4A6FA5"/>
          <w:sz w:val="20"/>
          <w:szCs w:val="20"/>
        </w:rPr>
        <w:t xml:space="preserve">QA Validation Analyst – CSV &amp; Automation</w:t>
      </w:r>
    </w:p>
    <w:p>
      <w:pPr>
        <w:spacing w:before="0" w:after="15"/>
      </w:pPr>
      <w:r>
        <w:rPr>
          <w:rFonts w:ascii="Arial" w:cs="Arial" w:eastAsia="Arial" w:hAnsi="Arial"/>
          <w:i/>
          <w:iCs/>
          <w:color w:val="555555"/>
          <w:sz w:val="18"/>
          <w:szCs w:val="18"/>
        </w:rPr>
        <w:t xml:space="preserve">QA validation analyst for J&amp;J's Janssen Pharmaceutical division responsible for computer system validation and automation for clinical and regulatory systems.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Executed IQ/OQ/PQ validation protocols for FDA-regulated clinical data management systems including Medidata Rave and Oracle Clinical.</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Selenium automation framework for J&amp;J's clinical trial randomization and trial supply management (RTSM) system.</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Designed automated CDISC SDTM dataset validation testing correct domain mapping, variable compliance, and define.xml accuracy.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Implemented automated eCTD (electronic Common Technical Document) validation testing submission structure, hyperlinking, and reviewer guide accuracy.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Conducted automated SAS dataset validation for ADaM analysis datasets supporting regulatory submissions to FDA and EMA.</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Built automated adverse event narrative consistency testing comparing MedDRA-coded events to free-text narrative descriptions.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Validated J&amp;J's Clarix AI regulatory intelligence platform for 21 CFR Part 11 compliance.</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Supported 8 NDA/BLA regulatory submissions with comprehensive CSV validation packages.</w:t>
      </w:r>
    </w:p>
    <w:p>
      <w:pPr>
        <w:spacing w:before="30" w:after="30"/>
      </w:pPr>
      <w:r>
        <w:rPr>
          <w:rFonts w:ascii="Arial" w:cs="Arial" w:eastAsia="Arial" w:hAnsi="Arial"/>
          <w:i/>
          <w:iCs/>
          <w:color w:val="666666"/>
          <w:sz w:val="17"/>
          <w:szCs w:val="17"/>
        </w:rPr>
        <w:t xml:space="preserve">Tools: Selenium, Java, REST Assured, Medidata Rave, Oracle Clinical, SAS, Oracle DB, HP ALM, Jenkins</w:t>
      </w:r>
    </w:p>
    <w:p>
      <w:pPr>
        <w:spacing w:before="80" w:after="10"/>
      </w:pPr>
      <w:r>
        <w:rPr>
          <w:rFonts w:ascii="Arial" w:cs="Arial" w:eastAsia="Arial" w:hAnsi="Arial"/>
          <w:b/>
          <w:bCs/>
          <w:color w:val="2D3748"/>
          <w:sz w:val="21"/>
          <w:szCs w:val="21"/>
        </w:rPr>
        <w:t xml:space="preserve">COGNIZANT LIFE SCIENCES</w:t>
      </w:r>
      <w:r>
        <w:rPr>
          <w:rFonts w:ascii="Arial" w:cs="Arial" w:eastAsia="Arial" w:hAnsi="Arial"/>
          <w:color w:val="777777"/>
          <w:sz w:val="18"/>
          <w:szCs w:val="18"/>
        </w:rPr>
        <w:t xml:space="preserve">  —  Parsippany, NJ  |  Jul 2014–Mar 2016</w:t>
      </w:r>
    </w:p>
    <w:p>
      <w:pPr>
        <w:spacing w:before="0" w:after="15"/>
      </w:pPr>
      <w:r>
        <w:rPr>
          <w:rFonts w:ascii="Arial" w:cs="Arial" w:eastAsia="Arial" w:hAnsi="Arial"/>
          <w:b/>
          <w:bCs/>
          <w:color w:val="4A6FA5"/>
          <w:sz w:val="20"/>
          <w:szCs w:val="20"/>
        </w:rPr>
        <w:t xml:space="preserve">Test Analyst – Pharmaceutical IT</w:t>
      </w:r>
    </w:p>
    <w:p>
      <w:pPr>
        <w:spacing w:before="0" w:after="15"/>
      </w:pPr>
      <w:r>
        <w:rPr>
          <w:rFonts w:ascii="Arial" w:cs="Arial" w:eastAsia="Arial" w:hAnsi="Arial"/>
          <w:i/>
          <w:iCs/>
          <w:color w:val="555555"/>
          <w:sz w:val="18"/>
          <w:szCs w:val="18"/>
        </w:rPr>
        <w:t xml:space="preserve">Test analyst within Cognizant's Life Sciences practice delivering pharmaceutical IT testing services.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Executed functional testing for SAP ERP pharmaceutical modules covering GMP batch management, quality management, and materials management.</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Performed validation testing for electronic batch record (EBR) systems per FDA 21 CFR Part 11.</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Conducted database validation for pharmaceutical manufacturing execution system (MES) data integrity.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Supported UAT for laboratory information management system (LIMS) implementations.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Created validation documentation including test protocols, validation summary reports, and deviations.</w:t>
      </w:r>
    </w:p>
    <w:p>
      <w:pPr>
        <w:spacing w:before="30" w:after="30"/>
      </w:pPr>
      <w:r>
        <w:rPr>
          <w:rFonts w:ascii="Arial" w:cs="Arial" w:eastAsia="Arial" w:hAnsi="Arial"/>
          <w:i/>
          <w:iCs/>
          <w:color w:val="666666"/>
          <w:sz w:val="17"/>
          <w:szCs w:val="17"/>
        </w:rPr>
        <w:t xml:space="preserve">Tools: SAP ERP, Selenium, Java, Oracle, SQL Server, HP ALM</w:t>
      </w:r>
    </w:p>
    <w:p>
      <w:pPr>
        <w:pBdr>
          <w:bottom w:val="single" w:color="4A6FA5" w:sz="6" w:space="1"/>
        </w:pBdr>
        <w:spacing w:before="100" w:after="40"/>
      </w:pPr>
      <w:r>
        <w:rPr>
          <w:rFonts w:ascii="Arial" w:cs="Arial" w:eastAsia="Arial" w:hAnsi="Arial"/>
          <w:b/>
          <w:bCs/>
          <w:color w:val="2D3748"/>
          <w:sz w:val="22"/>
          <w:szCs w:val="22"/>
        </w:rPr>
        <w:t xml:space="preserve">NOTABLE PROJECTS</w:t>
      </w:r>
    </w:p>
    <w:p>
      <w:pPr>
        <w:spacing w:before="50" w:after="10"/>
      </w:pPr>
      <w:r>
        <w:rPr>
          <w:rFonts w:ascii="Arial" w:cs="Arial" w:eastAsia="Arial" w:hAnsi="Arial"/>
          <w:b/>
          <w:bCs/>
          <w:color w:val="4A6FA5"/>
          <w:sz w:val="20"/>
          <w:szCs w:val="20"/>
        </w:rPr>
        <w:t xml:space="preserve">BMS – Veeva Vault GxP Validation Automation Platform</w:t>
      </w:r>
    </w:p>
    <w:p>
      <w:pPr>
        <w:spacing w:before="0" w:after="12"/>
      </w:pPr>
      <w:r>
        <w:rPr>
          <w:rFonts w:ascii="Arial" w:cs="Arial" w:eastAsia="Arial" w:hAnsi="Arial"/>
          <w:i/>
          <w:iCs/>
          <w:sz w:val="18"/>
          <w:szCs w:val="18"/>
        </w:rPr>
        <w:t xml:space="preserve">Enterprise automation platform for GAMP5-compliant computer system validation across BMS's 12 Veeva Vault instances.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Automated IQ/OQ/PQ protocols for all 12 vault instances saving 6,000+ hours of manual validation annually.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Automated evidence package generation producing complete CSV documentation for each release.</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Maintained 100% GxP compliance across all automated validation activities over 4-year program.</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Framework adopted as BMS enterprise standard for Veeva validation, extended to 3 additional business units.</w:t>
      </w:r>
    </w:p>
    <w:p>
      <w:pPr>
        <w:spacing w:before="50" w:after="10"/>
      </w:pPr>
      <w:r>
        <w:rPr>
          <w:rFonts w:ascii="Arial" w:cs="Arial" w:eastAsia="Arial" w:hAnsi="Arial"/>
          <w:b/>
          <w:bCs/>
          <w:color w:val="4A6FA5"/>
          <w:sz w:val="20"/>
          <w:szCs w:val="20"/>
        </w:rPr>
        <w:t xml:space="preserve">J&amp;J – NDA Regulatory Submission Testing Program</w:t>
      </w:r>
    </w:p>
    <w:p>
      <w:pPr>
        <w:spacing w:before="0" w:after="12"/>
      </w:pPr>
      <w:r>
        <w:rPr>
          <w:rFonts w:ascii="Arial" w:cs="Arial" w:eastAsia="Arial" w:hAnsi="Arial"/>
          <w:i/>
          <w:iCs/>
          <w:sz w:val="18"/>
          <w:szCs w:val="18"/>
        </w:rPr>
        <w:t xml:space="preserve">Comprehensive testing program supporting 8 NDA/BLA submissions to FDA and EMA for Janssen pharmaceutical products.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Automated eCTD structure validation and hyperlinking accuracy across 50,000+ document submissions.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Validated CDISC SDTM and ADaM datasets for 4 Phase III oncology trials.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Zero complete response letters (CRLs) attributed to electronic submission technical defects.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Submission validation framework cited in J&amp;J's FDA inspection readiness documentation.</w:t>
      </w:r>
    </w:p>
    <w:p>
      <w:pPr>
        <w:pBdr>
          <w:bottom w:val="single" w:color="4A6FA5" w:sz="6" w:space="1"/>
        </w:pBdr>
        <w:spacing w:before="100" w:after="40"/>
      </w:pPr>
      <w:r>
        <w:rPr>
          <w:rFonts w:ascii="Arial" w:cs="Arial" w:eastAsia="Arial" w:hAnsi="Arial"/>
          <w:b/>
          <w:bCs/>
          <w:color w:val="2D3748"/>
          <w:sz w:val="22"/>
          <w:szCs w:val="22"/>
        </w:rPr>
        <w:t xml:space="preserve">EDUCATION &amp; CERTIFICATIONS</w:t>
      </w:r>
    </w:p>
    <w:p>
      <w:pPr>
        <w:spacing w:before="40" w:after="8"/>
      </w:pPr>
      <w:r>
        <w:rPr>
          <w:rFonts w:ascii="Arial" w:cs="Arial" w:eastAsia="Arial" w:hAnsi="Arial"/>
          <w:b/>
          <w:bCs/>
          <w:sz w:val="20"/>
          <w:szCs w:val="20"/>
        </w:rPr>
        <w:t xml:space="preserve">M.S. Regulatory Affairs</w:t>
      </w:r>
      <w:r>
        <w:rPr>
          <w:rFonts w:ascii="Arial" w:cs="Arial" w:eastAsia="Arial" w:hAnsi="Arial"/>
          <w:color w:val="666666"/>
          <w:sz w:val="18"/>
          <w:szCs w:val="18"/>
        </w:rPr>
        <w:t xml:space="preserve">  |  Rutgers University  |  New Brunswick, NJ  |  2012–2014</w:t>
      </w:r>
    </w:p>
    <w:p>
      <w:pPr>
        <w:spacing w:before="0" w:after="20"/>
      </w:pPr>
      <w:r>
        <w:rPr>
          <w:rFonts w:ascii="Arial" w:cs="Arial" w:eastAsia="Arial" w:hAnsi="Arial"/>
          <w:i/>
          <w:iCs/>
          <w:sz w:val="17"/>
          <w:szCs w:val="17"/>
        </w:rPr>
        <w:t xml:space="preserve">FDA drug development regulatory process specialization. Courses: 21 CFR, IND/NDA submissions, GCP, GMP. Thesis: Computer System Validation Automation for Phase III Clinical Trials. GPA 3.78/4.0.</w:t>
      </w:r>
    </w:p>
    <w:p>
      <w:pPr>
        <w:spacing w:before="40" w:after="8"/>
      </w:pPr>
      <w:r>
        <w:rPr>
          <w:rFonts w:ascii="Arial" w:cs="Arial" w:eastAsia="Arial" w:hAnsi="Arial"/>
          <w:b/>
          <w:bCs/>
          <w:sz w:val="20"/>
          <w:szCs w:val="20"/>
        </w:rPr>
        <w:t xml:space="preserve">B.Pharm Pharmaceutical Sciences</w:t>
      </w:r>
      <w:r>
        <w:rPr>
          <w:rFonts w:ascii="Arial" w:cs="Arial" w:eastAsia="Arial" w:hAnsi="Arial"/>
          <w:color w:val="666666"/>
          <w:sz w:val="18"/>
          <w:szCs w:val="18"/>
        </w:rPr>
        <w:t xml:space="preserve">  |  University of Benin  |  Benin City, Nigeria  |  2008–2012</w:t>
      </w:r>
    </w:p>
    <w:p>
      <w:pPr>
        <w:spacing w:before="0" w:after="20"/>
      </w:pPr>
      <w:r>
        <w:rPr>
          <w:rFonts w:ascii="Arial" w:cs="Arial" w:eastAsia="Arial" w:hAnsi="Arial"/>
          <w:i/>
          <w:iCs/>
          <w:sz w:val="17"/>
          <w:szCs w:val="17"/>
        </w:rPr>
        <w:t xml:space="preserve">First Class Honours. Best Graduating Pharmacy Student Award. NAFDAC summer internship recipient.</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Regulatory Affairs Certification (RAC) – RAPS | 2016</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GAMP5 Computer System Validation Practitioner | 2018</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Salesforce Certified Administrator | 2020</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Provar Certified Test Engineer | 2021</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ISTQB Foundation Level (CTFL) | 2015</w:t>
      </w:r>
    </w:p>
    <w:p>
      <w:pPr>
        <w:pBdr>
          <w:bottom w:val="single" w:color="4A6FA5" w:sz="6" w:space="1"/>
        </w:pBdr>
        <w:spacing w:before="100" w:after="40"/>
      </w:pPr>
      <w:r>
        <w:rPr>
          <w:rFonts w:ascii="Arial" w:cs="Arial" w:eastAsia="Arial" w:hAnsi="Arial"/>
          <w:b/>
          <w:bCs/>
          <w:color w:val="2D3748"/>
          <w:sz w:val="22"/>
          <w:szCs w:val="22"/>
        </w:rPr>
        <w:t xml:space="preserve">PUBLICATIONS &amp; PROFESSIONAL COMMUNITY</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'Automating GAMP5 IQ/OQ/PQ Validation with Provar' – Veeva Community Blog, 2022</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'21 CFR Part 11 Test Automation: A Practical Guide' – RAPS Regulatory Focus, 2021</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Talk: 'CSV Automation for Veeva Vault' – Veeva Commercial Summit 2022</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Speaker, Veeva Commercial Summit 2022 – CSV Automation for Veeva Platforms</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Member, RAPS (Regulatory Affairs Professionals Society) – Technology Working Group</w:t>
      </w:r>
    </w:p>
    <w:p>
      <w:pPr>
        <w:spacing w:before="20" w:after="20"/>
        <w:ind w:left="240" w:hanging="160"/>
      </w:pPr>
      <w:r>
        <w:rPr>
          <w:rFonts w:ascii="Arial" w:cs="Arial" w:eastAsia="Arial" w:hAnsi="Arial"/>
          <w:b/>
          <w:bCs/>
          <w:color w:val="4A6FA5"/>
          <w:sz w:val="18"/>
          <w:szCs w:val="18"/>
        </w:rPr>
        <w:t xml:space="preserve">• </w:t>
      </w:r>
      <w:r>
        <w:rPr>
          <w:rFonts w:ascii="Arial" w:cs="Arial" w:eastAsia="Arial" w:hAnsi="Arial"/>
          <w:sz w:val="18"/>
          <w:szCs w:val="18"/>
        </w:rPr>
        <w:t xml:space="preserve">Mentor, RAPS Young Professionals Network</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2026-03-13T11:40:22.562Z</dcterms:created>
  <dcterms:modified xsi:type="dcterms:W3CDTF">2026-03-13T11:40:22.562Z</dcterms:modified>
</cp:coreProperties>
</file>

<file path=docProps/custom.xml><?xml version="1.0" encoding="utf-8"?>
<Properties xmlns="http://schemas.openxmlformats.org/officeDocument/2006/custom-properties" xmlns:vt="http://schemas.openxmlformats.org/officeDocument/2006/docPropsVTypes"/>
</file>