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60"/>
              <w:left w:type="dxa" w:w="240"/>
              <w:bottom w:type="dxa" w:w="3000"/>
              <w:right w:type="dxa" w:w="20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FFFFFF"/>
                <w:sz w:val="36"/>
                <w:szCs w:val="36"/>
              </w:rPr>
              <w:t xml:space="preserve">Priya Nair</w:t>
            </w:r>
          </w:p>
          <w:p>
            <w:pPr>
              <w:spacing w:before="0" w:after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smallCaps w:val="false"/>
                <w:color w:val="CCCCCC"/>
                <w:sz w:val="18"/>
                <w:szCs w:val="18"/>
              </w:rPr>
              <w:t xml:space="preserve">Machine Learning Engineer</w:t>
            </w:r>
          </w:p>
          <w:p>
            <w:pPr>
              <w:spacing w:before="0" w:after="3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AAAAAA"/>
                <w:sz w:val="15"/>
                <w:szCs w:val="15"/>
              </w:rPr>
              <w:t xml:space="preserve">priya.nair@techmail.com</w:t>
            </w:r>
          </w:p>
          <w:p>
            <w:pPr>
              <w:spacing w:before="0" w:after="3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AAAAAA"/>
                <w:sz w:val="15"/>
                <w:szCs w:val="15"/>
              </w:rPr>
              <w:t xml:space="preserve">+1 (312) 774-5522</w:t>
            </w:r>
          </w:p>
          <w:p>
            <w:pPr>
              <w:spacing w:before="0" w:after="3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AAAAAA"/>
                <w:sz w:val="15"/>
                <w:szCs w:val="15"/>
              </w:rPr>
              <w:t xml:space="preserve">Chicago, IL</w:t>
            </w:r>
          </w:p>
          <w:p>
            <w:pPr>
              <w:spacing w:before="0" w:after="8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88BBDD"/>
                <w:sz w:val="15"/>
                <w:szCs w:val="15"/>
              </w:rPr>
              <w:t xml:space="preserve">linkedin.com/in/priyanair</w:t>
            </w:r>
          </w:p>
          <w:p>
            <w:pPr>
              <w:pBdr>
                <w:bottom w:val="single" w:color="444444" w:sz="2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60" w:after="0"/>
            </w:pPr>
          </w:p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FFFFFF"/>
                <w:sz w:val="19"/>
                <w:szCs w:val="19"/>
              </w:rPr>
              <w:t xml:space="preserve">Skills</w:t>
            </w:r>
          </w:p>
          <w:p>
            <w:pPr>
              <w:spacing w:before="0" w:after="1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PyTorch / TensorFlow</w:t>
            </w:r>
          </w:p>
          <w:tbl>
            <w:tblPr>
              <w:tblW w:type="dxa" w:w="1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13"/>
              <w:gridCol w:w="47"/>
              <w:gridCol w:w="300"/>
            </w:tblGrid>
            <w:tr>
              <w:tc>
                <w:tcPr>
                  <w:tcW w:type="dxa" w:w="1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4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4"/>
                      <w:szCs w:val="14"/>
                    </w:rPr>
                    <w:t xml:space="preserve">97%</w:t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LLMs &amp; Transformers</w:t>
            </w:r>
          </w:p>
          <w:tbl>
            <w:tblPr>
              <w:tblW w:type="dxa" w:w="1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6"/>
              <w:gridCol w:w="94"/>
              <w:gridCol w:w="300"/>
            </w:tblGrid>
            <w:tr>
              <w:tc>
                <w:tcPr>
                  <w:tcW w:type="dxa" w:w="1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9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4"/>
                      <w:szCs w:val="14"/>
                    </w:rPr>
                    <w:t xml:space="preserve">94%</w:t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Python / R</w:t>
            </w:r>
          </w:p>
          <w:tbl>
            <w:tblPr>
              <w:tblW w:type="dxa" w:w="1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82"/>
              <w:gridCol w:w="78"/>
              <w:gridCol w:w="300"/>
            </w:tblGrid>
            <w:tr>
              <w:tc>
                <w:tcPr>
                  <w:tcW w:type="dxa" w:w="14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4"/>
                      <w:szCs w:val="14"/>
                    </w:rPr>
                    <w:t xml:space="preserve">95%</w:t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MLflow / Kubeflow / W&amp;B</w:t>
            </w:r>
          </w:p>
          <w:tbl>
            <w:tblPr>
              <w:tblW w:type="dxa" w:w="1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73"/>
              <w:gridCol w:w="187"/>
              <w:gridCol w:w="300"/>
            </w:tblGrid>
            <w:tr>
              <w:tc>
                <w:tcPr>
                  <w:tcW w:type="dxa" w:w="1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18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4"/>
                      <w:szCs w:val="14"/>
                    </w:rPr>
                    <w:t xml:space="preserve">88%</w:t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RLHF &amp; Fine-tuning</w:t>
            </w:r>
          </w:p>
          <w:tbl>
            <w:tblPr>
              <w:tblW w:type="dxa" w:w="1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20"/>
              <w:gridCol w:w="140"/>
              <w:gridCol w:w="300"/>
            </w:tblGrid>
            <w:tr>
              <w:tc>
                <w:tcPr>
                  <w:tcW w:type="dxa" w:w="1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4"/>
                      <w:szCs w:val="14"/>
                    </w:rPr>
                    <w:t xml:space="preserve">91%</w:t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Computer Vision (OpenCV)</w:t>
            </w:r>
          </w:p>
          <w:tbl>
            <w:tblPr>
              <w:tblW w:type="dxa" w:w="1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26"/>
              <w:gridCol w:w="234"/>
              <w:gridCol w:w="300"/>
            </w:tblGrid>
            <w:tr>
              <w:tc>
                <w:tcPr>
                  <w:tcW w:type="dxa" w:w="13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2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4"/>
                      <w:szCs w:val="14"/>
                    </w:rPr>
                    <w:t xml:space="preserve">85%</w:t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pBdr>
                <w:bottom w:val="single" w:color="444444" w:sz="2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60" w:after="0"/>
            </w:pPr>
          </w:p>
          <w:p>
            <w:pPr>
              <w:spacing w:before="0" w:after="5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FFFFFF"/>
                <w:sz w:val="19"/>
                <w:szCs w:val="19"/>
              </w:rPr>
              <w:t xml:space="preserve">Education</w:t>
            </w:r>
          </w:p>
          <w:p>
            <w:pPr>
              <w:spacing w:before="0" w:after="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FFFFFF"/>
                <w:sz w:val="15"/>
                <w:szCs w:val="15"/>
              </w:rPr>
              <w:t xml:space="preserve">Ph.D. Machine Learning</w:t>
            </w:r>
          </w:p>
          <w:p>
            <w:pPr>
              <w:spacing w:before="0" w:after="2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smallCaps w:val="false"/>
                <w:color w:val="CCCCCC"/>
                <w:sz w:val="14"/>
                <w:szCs w:val="14"/>
              </w:rPr>
              <w:t xml:space="preserve">Carnegie Mellon University</w:t>
            </w:r>
          </w:p>
          <w:p>
            <w:pPr>
              <w:spacing w:before="0" w:after="4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AAAAAA"/>
                <w:sz w:val="14"/>
                <w:szCs w:val="14"/>
              </w:rPr>
              <w:t xml:space="preserve">2013</w:t>
            </w:r>
          </w:p>
          <w:p>
            <w:pPr>
              <w:pBdr>
                <w:bottom w:val="single" w:color="444444" w:sz="2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60" w:after="0"/>
            </w:pPr>
          </w:p>
          <w:p>
            <w:pPr>
              <w:spacing w:before="0" w:after="5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FFFFFF"/>
                <w:sz w:val="19"/>
                <w:szCs w:val="19"/>
              </w:rPr>
              <w:t xml:space="preserve">Certifications</w:t>
            </w:r>
          </w:p>
          <w:p>
            <w:pPr>
              <w:spacing w:before="0" w:after="4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CCCCCC"/>
                <w:sz w:val="14"/>
                <w:szCs w:val="14"/>
              </w:rPr>
              <w:t xml:space="preserve">• AWS Certified Machine Learning – Specialty</w:t>
            </w:r>
          </w:p>
          <w:p>
            <w:pPr>
              <w:spacing w:before="0" w:after="4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CCCCCC"/>
                <w:sz w:val="14"/>
                <w:szCs w:val="14"/>
              </w:rPr>
              <w:t xml:space="preserve">• Google Professional ML Engineer</w:t>
            </w:r>
          </w:p>
          <w:p>
            <w:pPr>
              <w:spacing w:before="0" w:after="4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CCCCCC"/>
                <w:sz w:val="14"/>
                <w:szCs w:val="14"/>
              </w:rPr>
              <w:t xml:space="preserve">• Deep Learning Specialization (Coursera)</w:t>
            </w:r>
          </w:p>
          <w:p>
            <w:pPr>
              <w:pBdr>
                <w:bottom w:val="single" w:color="444444" w:sz="2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60" w:after="0"/>
            </w:pPr>
          </w:p>
          <w:p>
            <w:pPr>
              <w:spacing w:before="0" w:after="5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FFFFFF"/>
                <w:sz w:val="19"/>
                <w:szCs w:val="19"/>
              </w:rPr>
              <w:t xml:space="preserve">Clients</w:t>
            </w:r>
          </w:p>
          <w:p>
            <w:pPr>
              <w:spacing w:before="0" w:after="3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▸ OpenAI</w:t>
            </w:r>
          </w:p>
          <w:p>
            <w:pPr>
              <w:spacing w:before="0" w:after="3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▸ Netflix</w:t>
            </w:r>
          </w:p>
          <w:p>
            <w:pPr>
              <w:spacing w:before="0" w:after="3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▸ Uber</w:t>
            </w:r>
          </w:p>
          <w:p>
            <w:pPr>
              <w:spacing w:before="0" w:after="3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▸ NHS UK</w:t>
            </w:r>
          </w:p>
          <w:p>
            <w:pPr>
              <w:spacing w:before="0" w:after="3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▸ Walmart Global Tech</w:t>
            </w:r>
          </w:p>
          <w:p>
            <w:pPr>
              <w:spacing w:before="0" w:after="3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DDDDDD"/>
                <w:sz w:val="15"/>
                <w:szCs w:val="15"/>
              </w:rPr>
              <w:t xml:space="preserve">▸ Samsung Research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320"/>
              <w:bottom w:type="dxa" w:w="360"/>
              <w:right w:type="dxa" w:w="200"/>
            </w:tcMar>
            <w:vAlign w:val="top"/>
          </w:tcPr>
          <w:p>
            <w:pPr>
              <w:pBdr>
                <w:bottom w:val="single" w:color="512E5F" w:sz="3" w:space="4"/>
              </w:pBd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512E5F"/>
                <w:sz w:val="24"/>
                <w:szCs w:val="24"/>
              </w:rPr>
              <w:t xml:space="preserve">Profile</w:t>
            </w:r>
          </w:p>
          <w:p>
            <w:pPr>
              <w:spacing w:before="40" w:after="0"/>
            </w:pPr>
          </w:p>
          <w:p>
            <w:pPr>
              <w:spacing w:before="0" w:after="12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8"/>
                <w:szCs w:val="18"/>
              </w:rPr>
              <w:t xml:space="preserve">Innovative Machine Learning Engineer with 9 years building and deploying production-grade AI systems at global scale. Deep expertise in NLP, large language models, and computer vision. Passionate about responsible AI development and model interpretability across healthcare and consumer applications.</w:t>
            </w:r>
          </w:p>
          <w:p>
            <w:pPr>
              <w:pBdr>
                <w:bottom w:val="single" w:color="512E5F" w:sz="3" w:space="4"/>
              </w:pBd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512E5F"/>
                <w:sz w:val="24"/>
                <w:szCs w:val="24"/>
              </w:rPr>
              <w:t xml:space="preserve">Professional Experience</w:t>
            </w:r>
          </w:p>
          <w:p>
            <w:pPr>
              <w:spacing w:before="80" w:after="0"/>
            </w:pPr>
          </w:p>
          <w:p>
            <w:pPr>
              <w:spacing w:before="0" w:after="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OpenAI (Contractor)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888888"/>
                <w:sz w:val="17"/>
                <w:szCs w:val="17"/>
              </w:rPr>
              <w:t xml:space="preserve">  ·  Remote / San Francisco, CA</w:t>
            </w:r>
          </w:p>
          <w:tbl>
            <w:tblPr>
              <w:tblW w:type="dxa" w:w="6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276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smallCaps w:val="false"/>
                      <w:color w:val="6C3483"/>
                      <w:sz w:val="18"/>
                      <w:szCs w:val="18"/>
                    </w:rPr>
                    <w:t xml:space="preserve">ML Research Engineer</w:t>
                  </w:r>
                </w:p>
              </w:tc>
              <w:tc>
                <w:tcPr>
                  <w:tcW w:type="dxa" w:w="2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512E5F"/>
                      <w:sz w:val="17"/>
                      <w:szCs w:val="17"/>
                    </w:rPr>
                    <w:t xml:space="preserve">Jan 2020 – 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Fine-tuned large language models for domain-specific tasks achieving 34% improvement in alignment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end-to-end RLHF pipelines enabling human feedback integration at scale for 10+ model iterations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Designed automated evaluation frameworks reducing model validation time from 2 weeks to 3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Collaborated with research teams to translate academic papers into production-ready implementations</w:t>
            </w:r>
          </w:p>
          <w:p>
            <w:pPr>
              <w:spacing w:before="80" w:after="0"/>
            </w:pPr>
          </w:p>
          <w:p>
            <w:pPr>
              <w:spacing w:before="0" w:after="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Netflix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888888"/>
                <w:sz w:val="17"/>
                <w:szCs w:val="17"/>
              </w:rPr>
              <w:t xml:space="preserve">  ·  Los Gatos, CA</w:t>
            </w:r>
          </w:p>
          <w:tbl>
            <w:tblPr>
              <w:tblW w:type="dxa" w:w="6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276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smallCaps w:val="false"/>
                      <w:color w:val="6C3483"/>
                      <w:sz w:val="18"/>
                      <w:szCs w:val="18"/>
                    </w:rPr>
                    <w:t xml:space="preserve">Senior Machine Learning Engineer</w:t>
                  </w:r>
                </w:p>
              </w:tc>
              <w:tc>
                <w:tcPr>
                  <w:tcW w:type="dxa" w:w="2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512E5F"/>
                      <w:sz w:val="17"/>
                      <w:szCs w:val="17"/>
                    </w:rPr>
                    <w:t xml:space="preserve">Apr 2017 – Dec 2019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next-generation recommendation system serving 200M+ subscribers globally across 190 countries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Designed and executed 40+ A/B experiments for personalization algorithms, increasing engagement 18% YoY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Reduced model training infrastructure costs by $2.4M annually through intelligent resource 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Published 2 internal research papers on temporal dynamics in collaborative filtering</w:t>
            </w:r>
          </w:p>
          <w:p>
            <w:pPr>
              <w:spacing w:before="80" w:after="0"/>
            </w:pPr>
          </w:p>
          <w:p>
            <w:pPr>
              <w:spacing w:before="0" w:after="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Uber Technologies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888888"/>
                <w:sz w:val="17"/>
                <w:szCs w:val="17"/>
              </w:rPr>
              <w:t xml:space="preserve">  ·  San Francisco, CA</w:t>
            </w:r>
          </w:p>
          <w:tbl>
            <w:tblPr>
              <w:tblW w:type="dxa" w:w="6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276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smallCaps w:val="false"/>
                      <w:color w:val="6C3483"/>
                      <w:sz w:val="18"/>
                      <w:szCs w:val="18"/>
                    </w:rPr>
                    <w:t xml:space="preserve">Data Scientist</w:t>
                  </w:r>
                </w:p>
              </w:tc>
              <w:tc>
                <w:tcPr>
                  <w:tcW w:type="dxa" w:w="2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512E5F"/>
                      <w:sz w:val="17"/>
                      <w:szCs w:val="17"/>
                    </w:rPr>
                    <w:t xml:space="preserve">Jul 2015 – Mar 2017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Developed surge pricing ML models balancing supply-demand dynamics across 30+ major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driver-rider matching algorithms reducing average wait time by 22% in 5 pilot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Created real-time anomaly detection system for driver behavior, improving safety metrics by 15%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Delivered quarterly business reviews presenting model performance to VP-level stakeholders</w:t>
            </w:r>
          </w:p>
          <w:p>
            <w:pPr>
              <w:spacing w:before="80" w:after="0"/>
            </w:pPr>
          </w:p>
          <w:p>
            <w:pPr>
              <w:spacing w:before="0" w:after="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Accenture AI Labs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888888"/>
                <w:sz w:val="17"/>
                <w:szCs w:val="17"/>
              </w:rPr>
              <w:t xml:space="preserve">  ·  Chicago, IL</w:t>
            </w:r>
          </w:p>
          <w:tbl>
            <w:tblPr>
              <w:tblW w:type="dxa" w:w="6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276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smallCaps w:val="false"/>
                      <w:color w:val="6C3483"/>
                      <w:sz w:val="18"/>
                      <w:szCs w:val="18"/>
                    </w:rPr>
                    <w:t xml:space="preserve">Machine Learning Analyst</w:t>
                  </w:r>
                </w:p>
              </w:tc>
              <w:tc>
                <w:tcPr>
                  <w:tcW w:type="dxa" w:w="2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smallCaps w:val="false"/>
                      <w:color w:val="512E5F"/>
                      <w:sz w:val="17"/>
                      <w:szCs w:val="17"/>
                    </w:rPr>
                    <w:t xml:space="preserve">Aug 2013 – Jun 2015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Delivered NLP-based document classification and churn prediction solutions for 6 enterprise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healthcare claims processing automation saving clients $800K+ annually in manual review costs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Achieved 93% F1-score on medical entity extraction benchmark surpassing industry baseline by 12%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Developed reusable ML pipeline templates adopted across 3 AI practice teams globally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2026-03-16T12:46:40.708Z</dcterms:created>
  <dcterms:modified xsi:type="dcterms:W3CDTF">2026-03-16T12:46:40.708Z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