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4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0" w:after="30"/>
        <w:jc w:val="left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smallCaps w:val="false"/>
          <w:color w:val="0B5345"/>
          <w:sz w:val="52"/>
          <w:szCs w:val="52"/>
        </w:rPr>
        <w:t xml:space="preserve">Marcus Williams</w:t>
      </w:r>
    </w:p>
    <w:p>
      <w:pPr>
        <w:spacing w:before="0" w:after="3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smallCaps w:val="false"/>
          <w:color w:val="555555"/>
          <w:sz w:val="23"/>
          <w:szCs w:val="23"/>
        </w:rPr>
        <w:t xml:space="preserve">DevOps &amp; Cloud Infrastructure Lead</w:t>
      </w:r>
    </w:p>
    <w:p>
      <w:pPr>
        <w:spacing w:before="0" w:after="60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666666"/>
          <w:sz w:val="17"/>
          <w:szCs w:val="17"/>
        </w:rPr>
        <w:t xml:space="preserve">m.williams@cloudpro.io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BBBBBB"/>
          <w:sz w:val="17"/>
          <w:szCs w:val="17"/>
        </w:rPr>
        <w:t xml:space="preserve">  · 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666666"/>
          <w:sz w:val="17"/>
          <w:szCs w:val="17"/>
        </w:rPr>
        <w:t xml:space="preserve">+1 (646) 332-8801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BBBBBB"/>
          <w:sz w:val="17"/>
          <w:szCs w:val="17"/>
        </w:rPr>
        <w:t xml:space="preserve">  · 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666666"/>
          <w:sz w:val="17"/>
          <w:szCs w:val="17"/>
        </w:rPr>
        <w:t xml:space="preserve">New York, NY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BBBBBB"/>
          <w:sz w:val="17"/>
          <w:szCs w:val="17"/>
        </w:rPr>
        <w:t xml:space="preserve">  ·  </w:t>
      </w: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0B5345"/>
          <w:sz w:val="17"/>
          <w:szCs w:val="17"/>
        </w:rPr>
        <w:t xml:space="preserve">linkedin.com/in/marcuswilliams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34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0" w:after="40"/>
        <w:jc w:val="left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smallCaps w:val="false"/>
          <w:color w:val="0B5345"/>
          <w:sz w:val="22"/>
          <w:szCs w:val="22"/>
        </w:rPr>
        <w:t xml:space="preserve">Professional Summary</w:t>
      </w:r>
    </w:p>
    <w:p>
      <w:pPr>
        <w:spacing w:before="0" w:after="120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2C2C2C"/>
          <w:sz w:val="18"/>
          <w:szCs w:val="18"/>
        </w:rPr>
        <w:t xml:space="preserve">Seasoned Cloud Infrastructure Lead with 11 years of expertise automating enterprise deployment pipelines and managing hyper-scale Kubernetes environments. Proven record leading cloud migrations totaling $200M+ in AWS spend. Champion of zero-downtime delivery, SRE culture, and platform engineering excellence.</w:t>
      </w:r>
    </w:p>
    <w:p>
      <w:pPr>
        <w:spacing w:before="0" w:after="40"/>
        <w:jc w:val="left"/>
      </w:pPr>
      <w:r>
        <w:rPr>
          <w:rFonts w:ascii="Century Gothic" w:cs="Century Gothic" w:eastAsia="Century Gothic" w:hAnsi="Century Gothic"/>
          <w:b/>
          <w:bCs/>
          <w:i w:val="false"/>
          <w:iCs w:val="false"/>
          <w:smallCaps w:val="false"/>
          <w:color w:val="0B5345"/>
          <w:sz w:val="22"/>
          <w:szCs w:val="22"/>
        </w:rPr>
        <w:t xml:space="preserve">Work Experience</w:t>
      </w:r>
    </w:p>
    <w:p>
      <w:pPr>
        <w:pBdr>
          <w:bottom w:val="single" w:color="0B5345" w:sz="3" w:space="4"/>
        </w:pBd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8"/>
          <w:szCs w:val="8"/>
        </w:rPr>
        <w:t xml:space="preserve"/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Amazon Web Services (AWS)</w:t>
            </w: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999999"/>
                <w:sz w:val="16"/>
                <w:szCs w:val="16"/>
              </w:rPr>
              <w:t xml:space="preserve">   New York, NY</w:t>
            </w:r>
          </w:p>
          <w:p>
            <w:pPr>
              <w:spacing w:before="0" w:after="8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/>
                <w:iCs/>
                <w:smallCaps w:val="false"/>
                <w:color w:val="117A65"/>
                <w:sz w:val="18"/>
                <w:szCs w:val="18"/>
              </w:rPr>
              <w:t xml:space="preserve">Senior Solutions Architect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5345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6"/>
                      <w:szCs w:val="16"/>
                    </w:rPr>
                    <w:t xml:space="preserve">Feb 2022 – Present</w:t>
                  </w:r>
                </w:p>
              </w:tc>
            </w:tr>
          </w:tbl>
          <w:p/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Designed multi-region high-availability architectures for 8 enterprise financial services clients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Reduced client infrastructure costs by average 42% through Reserved Instance and Savings Plans optimization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Led 3-day architecture workshops for C-suite technology leaders at Fortune 100 organizations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Achieved AWS Partner Network Premier status by delivering 15+ Well-Architected Framework reviews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JPMorgan Chase &amp; Co.</w:t>
            </w: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999999"/>
                <w:sz w:val="16"/>
                <w:szCs w:val="16"/>
              </w:rPr>
              <w:t xml:space="preserve">   New York, NY</w:t>
            </w:r>
          </w:p>
          <w:p>
            <w:pPr>
              <w:spacing w:before="0" w:after="8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/>
                <w:iCs/>
                <w:smallCaps w:val="false"/>
                <w:color w:val="117A65"/>
                <w:sz w:val="18"/>
                <w:szCs w:val="18"/>
              </w:rPr>
              <w:t xml:space="preserve">Cloud Platform Engineering Lead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5345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6"/>
                      <w:szCs w:val="16"/>
                    </w:rPr>
                    <w:t xml:space="preserve">Sep 2019 – Jan 2022</w:t>
                  </w:r>
                </w:p>
              </w:tc>
            </w:tr>
          </w:tbl>
          <w:p/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Led end-to-end migration of 800+ legacy applications to AWS and Azure, completing 18 months ahead of schedule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Built Internal Developer Platform (IDP) on Backstage serving 6,000+ engineers across 4 global regions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Achieved 99.99% SLA across all Tier-1 critical services through proactive reliability engineering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Managed team of 18 platform engineers, overseeing hiring, performance, and technical roadmap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Cloudflare Inc.</w:t>
            </w: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999999"/>
                <w:sz w:val="16"/>
                <w:szCs w:val="16"/>
              </w:rPr>
              <w:t xml:space="preserve">   San Francisco, CA</w:t>
            </w:r>
          </w:p>
          <w:p>
            <w:pPr>
              <w:spacing w:before="0" w:after="8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/>
                <w:iCs/>
                <w:smallCaps w:val="false"/>
                <w:color w:val="117A65"/>
                <w:sz w:val="18"/>
                <w:szCs w:val="18"/>
              </w:rPr>
              <w:t xml:space="preserve">Senior Infrastructure Engineer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5345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6"/>
                      <w:szCs w:val="16"/>
                    </w:rPr>
                    <w:t xml:space="preserve">May 2016 – Aug 2019</w:t>
                  </w:r>
                </w:p>
              </w:tc>
            </w:tr>
          </w:tbl>
          <w:p/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Maintained global CDN infrastructure serving 25M+ HTTP requests per second across 200+ PoPs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Automated incident response playbooks reducing mean time to resolution (MTTR) by 60%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Designed Kubernetes-based microservices migration for internal tooling suite, handling 5,000+ daily deployments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Contributed to open-source Terraform modules adopted by 3,000+ external developers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111111"/>
                <w:sz w:val="21"/>
                <w:szCs w:val="21"/>
              </w:rPr>
              <w:t xml:space="preserve">Rackspace Technology</w:t>
            </w: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999999"/>
                <w:sz w:val="16"/>
                <w:szCs w:val="16"/>
              </w:rPr>
              <w:t xml:space="preserve">   San Antonio, TX</w:t>
            </w:r>
          </w:p>
          <w:p>
            <w:pPr>
              <w:spacing w:before="0" w:after="8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/>
                <w:iCs/>
                <w:smallCaps w:val="false"/>
                <w:color w:val="117A65"/>
                <w:sz w:val="18"/>
                <w:szCs w:val="18"/>
              </w:rPr>
              <w:t xml:space="preserve">Systems Engineer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5345" w:val="clear"/>
                  <w:tcMar>
                    <w:top w:type="dxa" w:w="70"/>
                    <w:left w:type="dxa" w:w="8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b/>
                      <w:bCs/>
                      <w:i w:val="false"/>
                      <w:iCs w:val="false"/>
                      <w:smallCaps w:val="false"/>
                      <w:color w:val="FFFFFF"/>
                      <w:sz w:val="16"/>
                      <w:szCs w:val="16"/>
                    </w:rPr>
                    <w:t xml:space="preserve">Jun 2013 – Apr 2016</w:t>
                  </w:r>
                </w:p>
              </w:tc>
            </w:tr>
          </w:tbl>
          <w:p/>
        </w:tc>
      </w:tr>
    </w:tbl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Managed 2,000+ Linux servers for 150+ SaaS client environments with 99.95% uptime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Built Ansible automation framework reducing server provisioning time from 4 hours to 8 minutes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Implemented centralized logging and monitoring stack (ELK + Grafana) for 50+ client environments</w:t>
      </w:r>
    </w:p>
    <w:p>
      <w:pPr>
        <w:pStyle w:val="ListParagraph"/>
        <w:numPr>
          <w:ilvl w:val="0"/>
          <w:numId w:val="2"/>
        </w:numPr>
        <w:spacing w:before="0" w:after="35"/>
        <w:jc w:val="left"/>
      </w:pPr>
      <w:r>
        <w:rPr>
          <w:rFonts w:ascii="Century Gothic" w:cs="Century Gothic" w:eastAsia="Century Gothic" w:hAnsi="Century Gothic"/>
          <w:b w:val="false"/>
          <w:bCs w:val="false"/>
          <w:i w:val="false"/>
          <w:iCs w:val="false"/>
          <w:smallCaps w:val="false"/>
          <w:color w:val="333333"/>
          <w:sz w:val="17"/>
          <w:szCs w:val="17"/>
        </w:rPr>
        <w:t xml:space="preserve">Earned Rackspace Fanatical Support Excellence Award for 2 consecutive years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0B5345"/>
                <w:sz w:val="22"/>
                <w:szCs w:val="22"/>
              </w:rPr>
              <w:t xml:space="preserve">Skills &amp; Expertise</w:t>
            </w:r>
          </w:p>
          <w:p>
            <w:pPr>
              <w:pBdr>
                <w:bottom w:val="single" w:color="0B5345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entury Gothic" w:cs="Century Gothic" w:eastAsia="Century Gothic" w:hAnsi="Century Gothic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Kubernetes / Docker / Helm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728"/>
                    <w:gridCol w:w="72"/>
                    <w:gridCol w:w="480"/>
                  </w:tblGrid>
                  <w:tr>
                    <w:tc>
                      <w:tcPr>
                        <w:tcW w:type="dxa" w:w="172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B534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Century Gothic" w:cs="Century Gothic" w:eastAsia="Century Gothic" w:hAnsi="Century Gothic"/>
                            <w:b/>
                            <w:bCs/>
                            <w:i w:val="false"/>
                            <w:iCs w:val="false"/>
                            <w:smallCaps w:val="false"/>
                            <w:color w:val="0B5345"/>
                            <w:sz w:val="16"/>
                            <w:szCs w:val="16"/>
                          </w:rPr>
                          <w:t xml:space="preserve">96%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entury Gothic" w:cs="Century Gothic" w:eastAsia="Century Gothic" w:hAnsi="Century Gothic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AWS / Azure / GCP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92"/>
                    <w:gridCol w:w="108"/>
                    <w:gridCol w:w="480"/>
                  </w:tblGrid>
                  <w:tr>
                    <w:tc>
                      <w:tcPr>
                        <w:tcW w:type="dxa" w:w="169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B534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08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Century Gothic" w:cs="Century Gothic" w:eastAsia="Century Gothic" w:hAnsi="Century Gothic"/>
                            <w:b/>
                            <w:bCs/>
                            <w:i w:val="false"/>
                            <w:iCs w:val="false"/>
                            <w:smallCaps w:val="false"/>
                            <w:color w:val="0B5345"/>
                            <w:sz w:val="16"/>
                            <w:szCs w:val="16"/>
                          </w:rPr>
                          <w:t xml:space="preserve">94%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entury Gothic" w:cs="Century Gothic" w:eastAsia="Century Gothic" w:hAnsi="Century Gothic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Terraform / Ansible / Pulumi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6"/>
                    <w:gridCol w:w="144"/>
                    <w:gridCol w:w="480"/>
                  </w:tblGrid>
                  <w:tr>
                    <w:tc>
                      <w:tcPr>
                        <w:tcW w:type="dxa" w:w="165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B534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4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Century Gothic" w:cs="Century Gothic" w:eastAsia="Century Gothic" w:hAnsi="Century Gothic"/>
                            <w:b/>
                            <w:bCs/>
                            <w:i w:val="false"/>
                            <w:iCs w:val="false"/>
                            <w:smallCaps w:val="false"/>
                            <w:color w:val="0B5345"/>
                            <w:sz w:val="16"/>
                            <w:szCs w:val="16"/>
                          </w:rPr>
                          <w:t xml:space="preserve">92%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entury Gothic" w:cs="Century Gothic" w:eastAsia="Century Gothic" w:hAnsi="Century Gothic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CI/CD – Jenkins / GitHub Actions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20"/>
                    <w:gridCol w:w="180"/>
                    <w:gridCol w:w="480"/>
                  </w:tblGrid>
                  <w:tr>
                    <w:tc>
                      <w:tcPr>
                        <w:tcW w:type="dxa" w:w="16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B534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Century Gothic" w:cs="Century Gothic" w:eastAsia="Century Gothic" w:hAnsi="Century Gothic"/>
                            <w:b/>
                            <w:bCs/>
                            <w:i w:val="false"/>
                            <w:iCs w:val="false"/>
                            <w:smallCaps w:val="false"/>
                            <w:color w:val="0B5345"/>
                            <w:sz w:val="16"/>
                            <w:szCs w:val="16"/>
                          </w:rPr>
                          <w:t xml:space="preserve">90%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entury Gothic" w:cs="Century Gothic" w:eastAsia="Century Gothic" w:hAnsi="Century Gothic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Python / Go / Bash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66"/>
                    <w:gridCol w:w="234"/>
                    <w:gridCol w:w="480"/>
                  </w:tblGrid>
                  <w:tr>
                    <w:tc>
                      <w:tcPr>
                        <w:tcW w:type="dxa" w:w="156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B534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Century Gothic" w:cs="Century Gothic" w:eastAsia="Century Gothic" w:hAnsi="Century Gothic"/>
                            <w:b/>
                            <w:bCs/>
                            <w:i w:val="false"/>
                            <w:iCs w:val="false"/>
                            <w:smallCaps w:val="false"/>
                            <w:color w:val="0B5345"/>
                            <w:sz w:val="16"/>
                            <w:szCs w:val="16"/>
                          </w:rPr>
                          <w:t xml:space="preserve">87%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28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Century Gothic" w:cs="Century Gothic" w:eastAsia="Century Gothic" w:hAnsi="Century Gothic"/>
                      <w:b w:val="false"/>
                      <w:bCs w:val="false"/>
                      <w:i w:val="false"/>
                      <w:iCs w:val="false"/>
                      <w:smallCaps w:val="false"/>
                      <w:color w:val="333333"/>
                      <w:sz w:val="18"/>
                      <w:szCs w:val="18"/>
                    </w:rPr>
                    <w:t xml:space="preserve">Observability – Datadog / Grafana</w:t>
                  </w:r>
                </w:p>
              </w:tc>
              <w:tc>
                <w:tcPr>
                  <w:tcW w:type="dxa" w:w="2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tbl>
                  <w:tblPr>
                    <w:tblW w:type="dxa" w:w="22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584"/>
                    <w:gridCol w:w="216"/>
                    <w:gridCol w:w="480"/>
                  </w:tblGrid>
                  <w:tr>
                    <w:tc>
                      <w:tcPr>
                        <w:tcW w:type="dxa" w:w="1584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B5345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1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E8E8" w:val="clear"/>
                        <w:tcMar>
                          <w:top w:type="dxa" w:w="55"/>
                          <w:left w:type="dxa" w:w="0"/>
                          <w:bottom w:type="dxa" w:w="55"/>
                          <w:right w:type="dxa" w:w="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olor w:val="1A1A1A"/>
                            <w:sz w:val="12"/>
                            <w:szCs w:val="1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  <w:vAlign w:val="top"/>
                      </w:tcPr>
                      <w:p>
                        <w:pPr>
                          <w:spacing w:before="0" w:after="80"/>
                          <w:jc w:val="right"/>
                        </w:pPr>
                        <w:r>
                          <w:rPr>
                            <w:rFonts w:ascii="Century Gothic" w:cs="Century Gothic" w:eastAsia="Century Gothic" w:hAnsi="Century Gothic"/>
                            <w:b/>
                            <w:bCs/>
                            <w:i w:val="false"/>
                            <w:iCs w:val="false"/>
                            <w:smallCaps w:val="false"/>
                            <w:color w:val="0B5345"/>
                            <w:sz w:val="16"/>
                            <w:szCs w:val="16"/>
                          </w:rPr>
                          <w:t xml:space="preserve">88%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20" w:after="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0B5345"/>
                <w:sz w:val="22"/>
                <w:szCs w:val="22"/>
              </w:rPr>
              <w:t xml:space="preserve">Education</w:t>
            </w:r>
          </w:p>
          <w:p>
            <w:pPr>
              <w:pBdr>
                <w:bottom w:val="single" w:color="0B5345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2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1A1A1A"/>
                <w:sz w:val="18"/>
                <w:szCs w:val="18"/>
              </w:rPr>
              <w:t xml:space="preserve">B.S. Information Systems</w:t>
            </w:r>
          </w:p>
          <w:p>
            <w:pPr>
              <w:spacing w:before="0" w:after="2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/>
                <w:iCs/>
                <w:smallCaps w:val="false"/>
                <w:color w:val="117A65"/>
                <w:sz w:val="17"/>
                <w:szCs w:val="17"/>
              </w:rPr>
              <w:t xml:space="preserve">New York University – Stern School</w:t>
            </w:r>
          </w:p>
          <w:p>
            <w:pPr>
              <w:spacing w:before="0" w:after="6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666666"/>
                <w:sz w:val="16"/>
                <w:szCs w:val="16"/>
              </w:rPr>
              <w:t xml:space="preserve">2013 — Minor in Computer Science; Dean's List 2011–2013</w:t>
            </w:r>
          </w:p>
          <w:p>
            <w:pPr>
              <w:spacing w:before="40" w:after="0"/>
            </w:pPr>
          </w:p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0B5345"/>
                <w:sz w:val="22"/>
                <w:szCs w:val="22"/>
              </w:rPr>
              <w:t xml:space="preserve">Certifications</w:t>
            </w:r>
          </w:p>
          <w:p>
            <w:pPr>
              <w:pBdr>
                <w:bottom w:val="single" w:color="0B5345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✓ AWS DevOps Engineer – Professional</w:t>
            </w:r>
          </w:p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✓ Certified Kubernetes Administrator (CKA)</w:t>
            </w:r>
          </w:p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✓ HashiCorp Certified Terraform Associate</w:t>
            </w:r>
          </w:p>
          <w:p>
            <w:pPr>
              <w:spacing w:before="40" w:after="0"/>
            </w:pPr>
          </w:p>
          <w:p>
            <w:pPr>
              <w:spacing w:before="0" w:after="4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i w:val="false"/>
                <w:iCs w:val="false"/>
                <w:smallCaps w:val="false"/>
                <w:color w:val="0B5345"/>
                <w:sz w:val="22"/>
                <w:szCs w:val="22"/>
              </w:rPr>
              <w:t xml:space="preserve">Key Clients</w:t>
            </w:r>
          </w:p>
          <w:p>
            <w:pPr>
              <w:pBdr>
                <w:bottom w:val="single" w:color="0B5345" w:sz="2" w:space="4"/>
              </w:pBd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1A1A1A"/>
                <w:sz w:val="8"/>
                <w:szCs w:val="8"/>
              </w:rPr>
              <w:t xml:space="preserve"/>
            </w:r>
          </w:p>
          <w:p>
            <w:pPr>
              <w:spacing w:before="40" w:after="0"/>
            </w:pPr>
          </w:p>
          <w:p>
            <w:pPr>
              <w:spacing w:before="0" w:after="35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JPMorgan Chase</w:t>
            </w:r>
          </w:p>
          <w:p>
            <w:pPr>
              <w:spacing w:before="0" w:after="35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AWS</w:t>
            </w:r>
          </w:p>
          <w:p>
            <w:pPr>
              <w:spacing w:before="0" w:after="35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Cloudflare</w:t>
            </w:r>
          </w:p>
          <w:p>
            <w:pPr>
              <w:spacing w:before="0" w:after="35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HSBC</w:t>
            </w:r>
          </w:p>
          <w:p>
            <w:pPr>
              <w:spacing w:before="0" w:after="35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Capital One</w:t>
            </w:r>
          </w:p>
          <w:p>
            <w:pPr>
              <w:spacing w:before="0" w:after="35"/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i w:val="false"/>
                <w:iCs w:val="false"/>
                <w:smallCaps w:val="false"/>
                <w:color w:val="333333"/>
                <w:sz w:val="16"/>
                <w:szCs w:val="16"/>
              </w:rPr>
              <w:t xml:space="preserve">▸ T-Mobile US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2026-03-16T12:46:40.766Z</dcterms:created>
  <dcterms:modified xsi:type="dcterms:W3CDTF">2026-03-16T12:46:40.766Z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