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20"/>
        <w:jc w:val="center"/>
      </w:pPr>
      <w:r>
        <w:rPr>
          <w:rFonts w:ascii="Cambria" w:cs="Cambria" w:eastAsia="Cambria" w:hAnsi="Cambria"/>
          <w:b/>
          <w:bCs/>
          <w:i w:val="false"/>
          <w:iCs w:val="false"/>
          <w:smallCaps w:val="false"/>
          <w:color w:val="1A1A1A"/>
          <w:sz w:val="52"/>
          <w:szCs w:val="52"/>
        </w:rPr>
        <w:t xml:space="preserve">Mei Lin Zhang</w:t>
      </w:r>
    </w:p>
    <w:p>
      <w:pPr>
        <w:spacing w:before="0" w:after="40"/>
        <w:jc w:val="center"/>
      </w:pPr>
      <w:r>
        <w:rPr>
          <w:rFonts w:ascii="Cambria" w:cs="Cambria" w:eastAsia="Cambria" w:hAnsi="Cambria"/>
          <w:b w:val="false"/>
          <w:bCs w:val="false"/>
          <w:i/>
          <w:iCs/>
          <w:smallCaps w:val="false"/>
          <w:color w:val="1B2631"/>
          <w:sz w:val="22"/>
          <w:szCs w:val="22"/>
        </w:rPr>
        <w:t xml:space="preserve">Lead Data Scientist</w:t>
      </w:r>
    </w:p>
    <w:p>
      <w:pPr>
        <w:spacing w:before="0" w:after="60"/>
        <w:jc w:val="center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mallCaps w:val="false"/>
          <w:color w:val="555555"/>
          <w:sz w:val="16"/>
          <w:szCs w:val="16"/>
        </w:rPr>
        <w:t xml:space="preserve">meilin.zhang@datasci.com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mallCaps w:val="false"/>
          <w:color w:val="AAAAAA"/>
          <w:sz w:val="16"/>
          <w:szCs w:val="16"/>
        </w:rPr>
        <w:t xml:space="preserve">   •   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mallCaps w:val="false"/>
          <w:color w:val="555555"/>
          <w:sz w:val="16"/>
          <w:szCs w:val="16"/>
        </w:rPr>
        <w:t xml:space="preserve">+1 (503) 667-1192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mallCaps w:val="false"/>
          <w:color w:val="AAAAAA"/>
          <w:sz w:val="16"/>
          <w:szCs w:val="16"/>
        </w:rPr>
        <w:t xml:space="preserve">   •   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mallCaps w:val="false"/>
          <w:color w:val="555555"/>
          <w:sz w:val="16"/>
          <w:szCs w:val="16"/>
        </w:rPr>
        <w:t xml:space="preserve">Portland, OR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mallCaps w:val="false"/>
          <w:color w:val="AAAAAA"/>
          <w:sz w:val="16"/>
          <w:szCs w:val="16"/>
        </w:rPr>
        <w:t xml:space="preserve">   •   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mallCaps w:val="false"/>
          <w:color w:val="1B2631"/>
          <w:sz w:val="16"/>
          <w:szCs w:val="16"/>
        </w:rPr>
        <w:t xml:space="preserve">linkedin.com/in/meilinzhang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631" w:val="clear"/>
            <w:tcMar>
              <w:top w:type="dxa" w:w="0"/>
              <w:bottom w:type="dxa" w:w="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1A1A1A"/>
                <w:sz w:val="6"/>
                <w:szCs w:val="6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88888" w:val="clear"/>
            <w:tcMar>
              <w:top w:type="dxa" w:w="0"/>
              <w:bottom w:type="dxa" w:w="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1A1A1A"/>
                <w:sz w:val="6"/>
                <w:szCs w:val="6"/>
              </w:rPr>
              <w:t xml:space="preserve"/>
            </w:r>
          </w:p>
        </w:tc>
      </w:tr>
    </w:tbl>
    <w:p>
      <w:pPr>
        <w:spacing w:before="80" w:after="0"/>
      </w:pPr>
    </w:p>
    <w:p>
      <w:pPr>
        <w:spacing w:before="0" w:after="20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smallCaps/>
          <w:color w:val="1B2631"/>
          <w:sz w:val="21"/>
          <w:szCs w:val="21"/>
        </w:rPr>
        <w:t xml:space="preserve">Professional Summary</w:t>
      </w:r>
    </w:p>
    <w:p>
      <w:pPr>
        <w:pBdr>
          <w:bottom w:val="single" w:color="1B2631" w:sz="3" w:space="4"/>
        </w:pBdr>
        <w:spacing w:before="0"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mallCaps w:val="false"/>
          <w:color w:val="1A1A1A"/>
          <w:sz w:val="8"/>
          <w:szCs w:val="8"/>
        </w:rPr>
        <w:t xml:space="preserve"/>
      </w:r>
    </w:p>
    <w:p>
      <w:pPr>
        <w:spacing w:before="40" w:after="0"/>
      </w:pPr>
    </w:p>
    <w:p>
      <w:pPr>
        <w:spacing w:before="0" w:after="120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mallCaps w:val="false"/>
          <w:color w:val="2C2C2C"/>
          <w:sz w:val="18"/>
          <w:szCs w:val="18"/>
        </w:rPr>
        <w:t xml:space="preserve">Accomplished Data Science leader with 10 years solving high-impact business problems through advanced statistical modeling and machine learning. Published researcher with 6 peer-reviewed papers in NLP and time series forecasting. Proven ability to translate complex analytical insights into measurable business outcomes across retail, healthcare, and aerospace.</w:t>
      </w:r>
    </w:p>
    <w:p>
      <w:pPr>
        <w:spacing w:before="0" w:after="20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smallCaps/>
          <w:color w:val="1B2631"/>
          <w:sz w:val="21"/>
          <w:szCs w:val="21"/>
        </w:rPr>
        <w:t xml:space="preserve">Professional Experience</w:t>
      </w:r>
    </w:p>
    <w:p>
      <w:pPr>
        <w:pBdr>
          <w:bottom w:val="single" w:color="1B2631" w:sz="3" w:space="4"/>
        </w:pBdr>
        <w:spacing w:before="0"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mallCaps w:val="false"/>
          <w:color w:val="1A1A1A"/>
          <w:sz w:val="8"/>
          <w:szCs w:val="8"/>
        </w:rPr>
        <w:t xml:space="preserve"/>
      </w:r>
    </w:p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20"/>
              <w:jc w:val="left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smallCaps w:val="false"/>
                <w:color w:val="1A1A1A"/>
                <w:sz w:val="20"/>
                <w:szCs w:val="20"/>
              </w:rPr>
              <w:t xml:space="preserve">Nike, Inc.</w:t>
            </w:r>
          </w:p>
          <w:p>
            <w:pPr>
              <w:spacing w:before="0" w:after="8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mallCaps w:val="false"/>
                <w:color w:val="2C3E50"/>
                <w:sz w:val="18"/>
                <w:szCs w:val="18"/>
              </w:rPr>
              <w:t xml:space="preserve">Lead Data Scientist – Demand Planning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20"/>
              <w:jc w:val="right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smallCaps w:val="false"/>
                <w:color w:val="1B2631"/>
                <w:sz w:val="16"/>
                <w:szCs w:val="16"/>
              </w:rPr>
              <w:t xml:space="preserve">Jun 2021 – Present</w:t>
            </w:r>
          </w:p>
          <w:p>
            <w:pPr>
              <w:spacing w:before="0" w:after="80"/>
              <w:jc w:val="right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mallCaps w:val="false"/>
                <w:color w:val="777777"/>
                <w:sz w:val="15"/>
                <w:szCs w:val="15"/>
              </w:rPr>
              <w:t xml:space="preserve">Beaverton, OR</w:t>
            </w:r>
          </w:p>
        </w:tc>
      </w:tr>
    </w:tbl>
    <w:p>
      <w:pPr>
        <w:pStyle w:val="ListParagraph"/>
        <w:numPr>
          <w:ilvl w:val="0"/>
          <w:numId w:val="2"/>
        </w:numPr>
        <w:spacing w:before="0" w:after="35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mallCaps w:val="false"/>
          <w:color w:val="333333"/>
          <w:sz w:val="17"/>
          <w:szCs w:val="17"/>
        </w:rPr>
        <w:t xml:space="preserve">Built ensemble demand forecasting models reducing inventory waste by $80M annually across 12 product categories</w:t>
      </w:r>
    </w:p>
    <w:p>
      <w:pPr>
        <w:pStyle w:val="ListParagraph"/>
        <w:numPr>
          <w:ilvl w:val="0"/>
          <w:numId w:val="2"/>
        </w:numPr>
        <w:spacing w:before="0" w:after="35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mallCaps w:val="false"/>
          <w:color w:val="333333"/>
          <w:sz w:val="17"/>
          <w:szCs w:val="17"/>
        </w:rPr>
        <w:t xml:space="preserve">Led team of 10 data scientists in 3 countries, establishing model governance and MLOps standards</w:t>
      </w:r>
    </w:p>
    <w:p>
      <w:pPr>
        <w:pStyle w:val="ListParagraph"/>
        <w:numPr>
          <w:ilvl w:val="0"/>
          <w:numId w:val="2"/>
        </w:numPr>
        <w:spacing w:before="0" w:after="35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mallCaps w:val="false"/>
          <w:color w:val="333333"/>
          <w:sz w:val="17"/>
          <w:szCs w:val="17"/>
        </w:rPr>
        <w:t xml:space="preserve">Deployed 15 production ML models via AWS SageMaker serving real-time predictions to 5 downstream systems</w:t>
      </w:r>
    </w:p>
    <w:p>
      <w:pPr>
        <w:pStyle w:val="ListParagraph"/>
        <w:numPr>
          <w:ilvl w:val="0"/>
          <w:numId w:val="2"/>
        </w:numPr>
        <w:spacing w:before="0" w:after="35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mallCaps w:val="false"/>
          <w:color w:val="333333"/>
          <w:sz w:val="17"/>
          <w:szCs w:val="17"/>
        </w:rPr>
        <w:t xml:space="preserve">Developed causal inference framework quantifying marketing ROI with 94% attribution accuracy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20"/>
              <w:jc w:val="left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smallCaps w:val="false"/>
                <w:color w:val="1A1A1A"/>
                <w:sz w:val="20"/>
                <w:szCs w:val="20"/>
              </w:rPr>
              <w:t xml:space="preserve">Providence Health &amp; Services</w:t>
            </w:r>
          </w:p>
          <w:p>
            <w:pPr>
              <w:spacing w:before="0" w:after="8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mallCaps w:val="false"/>
                <w:color w:val="2C3E50"/>
                <w:sz w:val="18"/>
                <w:szCs w:val="18"/>
              </w:rPr>
              <w:t xml:space="preserve">Senior Data Scientist – Clinical Analytics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20"/>
              <w:jc w:val="right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smallCaps w:val="false"/>
                <w:color w:val="1B2631"/>
                <w:sz w:val="16"/>
                <w:szCs w:val="16"/>
              </w:rPr>
              <w:t xml:space="preserve">Aug 2018 – May 2021</w:t>
            </w:r>
          </w:p>
          <w:p>
            <w:pPr>
              <w:spacing w:before="0" w:after="80"/>
              <w:jc w:val="right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mallCaps w:val="false"/>
                <w:color w:val="777777"/>
                <w:sz w:val="15"/>
                <w:szCs w:val="15"/>
              </w:rPr>
              <w:t xml:space="preserve">Portland, OR</w:t>
            </w:r>
          </w:p>
        </w:tc>
      </w:tr>
    </w:tbl>
    <w:p>
      <w:pPr>
        <w:pStyle w:val="ListParagraph"/>
        <w:numPr>
          <w:ilvl w:val="0"/>
          <w:numId w:val="2"/>
        </w:numPr>
        <w:spacing w:before="0" w:after="35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mallCaps w:val="false"/>
          <w:color w:val="333333"/>
          <w:sz w:val="17"/>
          <w:szCs w:val="17"/>
        </w:rPr>
        <w:t xml:space="preserve">Built clinical sepsis risk model achieving 94% AUROC, deployed to 50+ ICUs across 8-hospital network</w:t>
      </w:r>
    </w:p>
    <w:p>
      <w:pPr>
        <w:pStyle w:val="ListParagraph"/>
        <w:numPr>
          <w:ilvl w:val="0"/>
          <w:numId w:val="2"/>
        </w:numPr>
        <w:spacing w:before="0" w:after="35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mallCaps w:val="false"/>
          <w:color w:val="333333"/>
          <w:sz w:val="17"/>
          <w:szCs w:val="17"/>
        </w:rPr>
        <w:t xml:space="preserve">Created NLP pipeline processing 2M+ unstructured clinical notes monthly for diagnostic code extraction</w:t>
      </w:r>
    </w:p>
    <w:p>
      <w:pPr>
        <w:pStyle w:val="ListParagraph"/>
        <w:numPr>
          <w:ilvl w:val="0"/>
          <w:numId w:val="2"/>
        </w:numPr>
        <w:spacing w:before="0" w:after="35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mallCaps w:val="false"/>
          <w:color w:val="333333"/>
          <w:sz w:val="17"/>
          <w:szCs w:val="17"/>
        </w:rPr>
        <w:t xml:space="preserve">Reduced hospital readmission rate by 12% through predictive intervention targeting system</w:t>
      </w:r>
    </w:p>
    <w:p>
      <w:pPr>
        <w:pStyle w:val="ListParagraph"/>
        <w:numPr>
          <w:ilvl w:val="0"/>
          <w:numId w:val="2"/>
        </w:numPr>
        <w:spacing w:before="0" w:after="35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mallCaps w:val="false"/>
          <w:color w:val="333333"/>
          <w:sz w:val="17"/>
          <w:szCs w:val="17"/>
        </w:rPr>
        <w:t xml:space="preserve">Published 2 peer-reviewed papers in Journal of Medical Informatics on clinical NLP applications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20"/>
              <w:jc w:val="left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smallCaps w:val="false"/>
                <w:color w:val="1A1A1A"/>
                <w:sz w:val="20"/>
                <w:szCs w:val="20"/>
              </w:rPr>
              <w:t xml:space="preserve">Boeing Commercial Airplanes</w:t>
            </w:r>
          </w:p>
          <w:p>
            <w:pPr>
              <w:spacing w:before="0" w:after="8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mallCaps w:val="false"/>
                <w:color w:val="2C3E50"/>
                <w:sz w:val="18"/>
                <w:szCs w:val="18"/>
              </w:rPr>
              <w:t xml:space="preserve">Analytics Engineer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20"/>
              <w:jc w:val="right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smallCaps w:val="false"/>
                <w:color w:val="1B2631"/>
                <w:sz w:val="16"/>
                <w:szCs w:val="16"/>
              </w:rPr>
              <w:t xml:space="preserve">May 2015 – Jul 2018</w:t>
            </w:r>
          </w:p>
          <w:p>
            <w:pPr>
              <w:spacing w:before="0" w:after="80"/>
              <w:jc w:val="right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mallCaps w:val="false"/>
                <w:color w:val="777777"/>
                <w:sz w:val="15"/>
                <w:szCs w:val="15"/>
              </w:rPr>
              <w:t xml:space="preserve">Everett, WA</w:t>
            </w:r>
          </w:p>
        </w:tc>
      </w:tr>
    </w:tbl>
    <w:p>
      <w:pPr>
        <w:pStyle w:val="ListParagraph"/>
        <w:numPr>
          <w:ilvl w:val="0"/>
          <w:numId w:val="2"/>
        </w:numPr>
        <w:spacing w:before="0" w:after="35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mallCaps w:val="false"/>
          <w:color w:val="333333"/>
          <w:sz w:val="17"/>
          <w:szCs w:val="17"/>
        </w:rPr>
        <w:t xml:space="preserve">Developed predictive maintenance models for 737 and 787 commercial fleets reducing unplanned downtime by 35%</w:t>
      </w:r>
    </w:p>
    <w:p>
      <w:pPr>
        <w:pStyle w:val="ListParagraph"/>
        <w:numPr>
          <w:ilvl w:val="0"/>
          <w:numId w:val="2"/>
        </w:numPr>
        <w:spacing w:before="0" w:after="35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mallCaps w:val="false"/>
          <w:color w:val="333333"/>
          <w:sz w:val="17"/>
          <w:szCs w:val="17"/>
        </w:rPr>
        <w:t xml:space="preserve">Analyzed terabytes of real-time sensor telemetry from 500+ active aircraft using Spark and HBase</w:t>
      </w:r>
    </w:p>
    <w:p>
      <w:pPr>
        <w:pStyle w:val="ListParagraph"/>
        <w:numPr>
          <w:ilvl w:val="0"/>
          <w:numId w:val="2"/>
        </w:numPr>
        <w:spacing w:before="0" w:after="35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mallCaps w:val="false"/>
          <w:color w:val="333333"/>
          <w:sz w:val="17"/>
          <w:szCs w:val="17"/>
        </w:rPr>
        <w:t xml:space="preserve">Built anomaly detection system for engine health monitoring preventing 12 potential in-service events</w:t>
      </w:r>
    </w:p>
    <w:p>
      <w:pPr>
        <w:pStyle w:val="ListParagraph"/>
        <w:numPr>
          <w:ilvl w:val="0"/>
          <w:numId w:val="2"/>
        </w:numPr>
        <w:spacing w:before="0" w:after="35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mallCaps w:val="false"/>
          <w:color w:val="333333"/>
          <w:sz w:val="17"/>
          <w:szCs w:val="17"/>
        </w:rPr>
        <w:t xml:space="preserve">Received Boeing Special Inventor Award for machine learning patent application (US20180365552A1)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20"/>
              <w:jc w:val="left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smallCaps w:val="false"/>
                <w:color w:val="1A1A1A"/>
                <w:sz w:val="20"/>
                <w:szCs w:val="20"/>
              </w:rPr>
              <w:t xml:space="preserve">KPMG Analytics &amp; AI</w:t>
            </w:r>
          </w:p>
          <w:p>
            <w:pPr>
              <w:spacing w:before="0" w:after="8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mallCaps w:val="false"/>
                <w:color w:val="2C3E50"/>
                <w:sz w:val="18"/>
                <w:szCs w:val="18"/>
              </w:rPr>
              <w:t xml:space="preserve">Data Analyst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20"/>
              <w:jc w:val="right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smallCaps w:val="false"/>
                <w:color w:val="1B2631"/>
                <w:sz w:val="16"/>
                <w:szCs w:val="16"/>
              </w:rPr>
              <w:t xml:space="preserve">Sep 2013 – Apr 2015</w:t>
            </w:r>
          </w:p>
          <w:p>
            <w:pPr>
              <w:spacing w:before="0" w:after="80"/>
              <w:jc w:val="right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mallCaps w:val="false"/>
                <w:color w:val="777777"/>
                <w:sz w:val="15"/>
                <w:szCs w:val="15"/>
              </w:rPr>
              <w:t xml:space="preserve">Seattle, WA</w:t>
            </w:r>
          </w:p>
        </w:tc>
      </w:tr>
    </w:tbl>
    <w:p>
      <w:pPr>
        <w:pStyle w:val="ListParagraph"/>
        <w:numPr>
          <w:ilvl w:val="0"/>
          <w:numId w:val="2"/>
        </w:numPr>
        <w:spacing w:before="0" w:after="35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mallCaps w:val="false"/>
          <w:color w:val="333333"/>
          <w:sz w:val="17"/>
          <w:szCs w:val="17"/>
        </w:rPr>
        <w:t xml:space="preserve">Delivered customer analytics solutions for 8 global retail and banking enterprise clients</w:t>
      </w:r>
    </w:p>
    <w:p>
      <w:pPr>
        <w:pStyle w:val="ListParagraph"/>
        <w:numPr>
          <w:ilvl w:val="0"/>
          <w:numId w:val="2"/>
        </w:numPr>
        <w:spacing w:before="0" w:after="35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mallCaps w:val="false"/>
          <w:color w:val="333333"/>
          <w:sz w:val="17"/>
          <w:szCs w:val="17"/>
        </w:rPr>
        <w:t xml:space="preserve">Built customer lifetime value and churn prediction models improving client retention rates by 18%</w:t>
      </w:r>
    </w:p>
    <w:p>
      <w:pPr>
        <w:pStyle w:val="ListParagraph"/>
        <w:numPr>
          <w:ilvl w:val="0"/>
          <w:numId w:val="2"/>
        </w:numPr>
        <w:spacing w:before="0" w:after="35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mallCaps w:val="false"/>
          <w:color w:val="333333"/>
          <w:sz w:val="17"/>
          <w:szCs w:val="17"/>
        </w:rPr>
        <w:t xml:space="preserve">Developed automated reporting framework reducing client deliverable preparation time by 60%</w:t>
      </w:r>
    </w:p>
    <w:p>
      <w:pPr>
        <w:pStyle w:val="ListParagraph"/>
        <w:numPr>
          <w:ilvl w:val="0"/>
          <w:numId w:val="2"/>
        </w:numPr>
        <w:spacing w:before="0" w:after="35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mallCaps w:val="false"/>
          <w:color w:val="333333"/>
          <w:sz w:val="17"/>
          <w:szCs w:val="17"/>
        </w:rPr>
        <w:t xml:space="preserve">Achieved CPA exam pass on first attempt while working full-time – top 5% nationally</w:t>
      </w:r>
    </w:p>
    <w:p>
      <w:pPr>
        <w:spacing w:before="60" w:after="0"/>
      </w:pPr>
    </w:p>
    <w:p>
      <w:pPr>
        <w:spacing w:before="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20"/>
              <w:jc w:val="left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smallCaps/>
                <w:color w:val="1B2631"/>
                <w:sz w:val="21"/>
                <w:szCs w:val="21"/>
              </w:rPr>
              <w:t xml:space="preserve">Education</w:t>
            </w:r>
          </w:p>
          <w:p>
            <w:pPr>
              <w:pBdr>
                <w:bottom w:val="single" w:color="1B2631" w:sz="3" w:space="4"/>
              </w:pBd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1A1A1A"/>
                <w:sz w:val="8"/>
                <w:szCs w:val="8"/>
              </w:rPr>
              <w:t xml:space="preserve"/>
            </w:r>
          </w:p>
          <w:p>
            <w:pPr>
              <w:spacing w:before="40" w:after="0"/>
            </w:pPr>
          </w:p>
          <w:p>
            <w:pPr>
              <w:spacing w:before="0" w:after="20"/>
              <w:jc w:val="left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smallCaps w:val="false"/>
                <w:color w:val="1A1A1A"/>
                <w:sz w:val="18"/>
                <w:szCs w:val="18"/>
              </w:rPr>
              <w:t xml:space="preserve">M.S. Statistics</w:t>
            </w:r>
          </w:p>
          <w:p>
            <w:pPr>
              <w:spacing w:before="0" w:after="2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mallCaps w:val="false"/>
                <w:color w:val="2C3E50"/>
                <w:sz w:val="17"/>
                <w:szCs w:val="17"/>
              </w:rPr>
              <w:t xml:space="preserve">Oregon State University</w:t>
            </w:r>
          </w:p>
          <w:p>
            <w:pPr>
              <w:spacing w:before="0" w:after="6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mallCaps w:val="false"/>
                <w:color w:val="777777"/>
                <w:sz w:val="15"/>
                <w:szCs w:val="15"/>
              </w:rPr>
              <w:t xml:space="preserve">2013 — Thesis: Bayesian Hierarchical Models for Longitudinal Healthcare Data</w:t>
            </w:r>
          </w:p>
          <w:p>
            <w:pPr>
              <w:spacing w:before="0" w:after="20"/>
              <w:jc w:val="left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smallCaps/>
                <w:color w:val="1B2631"/>
                <w:sz w:val="21"/>
                <w:szCs w:val="21"/>
              </w:rPr>
              <w:t xml:space="preserve">Certifications</w:t>
            </w:r>
          </w:p>
          <w:p>
            <w:pPr>
              <w:pBdr>
                <w:bottom w:val="single" w:color="1B2631" w:sz="3" w:space="4"/>
              </w:pBd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1A1A1A"/>
                <w:sz w:val="8"/>
                <w:szCs w:val="8"/>
              </w:rPr>
              <w:t xml:space="preserve"/>
            </w:r>
          </w:p>
          <w:p>
            <w:pPr>
              <w:spacing w:before="40" w:after="0"/>
            </w:pPr>
          </w:p>
          <w:p>
            <w:pPr>
              <w:spacing w:before="0" w:after="4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mallCaps w:val="false"/>
                <w:color w:val="333333"/>
                <w:sz w:val="16"/>
                <w:szCs w:val="16"/>
              </w:rPr>
              <w:t xml:space="preserve">✓ Databricks Certified ML Professional</w:t>
            </w:r>
          </w:p>
          <w:p>
            <w:pPr>
              <w:spacing w:before="0" w:after="4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mallCaps w:val="false"/>
                <w:color w:val="333333"/>
                <w:sz w:val="16"/>
                <w:szCs w:val="16"/>
              </w:rPr>
              <w:t xml:space="preserve">✓ AWS Machine Learning – Specialty</w:t>
            </w:r>
          </w:p>
          <w:p>
            <w:pPr>
              <w:spacing w:before="0" w:after="4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mallCaps w:val="false"/>
                <w:color w:val="333333"/>
                <w:sz w:val="16"/>
                <w:szCs w:val="16"/>
              </w:rPr>
              <w:t xml:space="preserve">✓ Google Data Analytics Professional Certificate</w:t>
            </w:r>
          </w:p>
        </w:tc>
        <w:tc>
          <w:tcPr>
            <w:tcW w:type="dxa" w:w="4800"/>
            <w:tcBorders>
              <w:top w:val="none" w:color="FFFFFF" w:sz="0"/>
              <w:left w:val="single" w:color="DDDDDD" w:sz="1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0"/>
            </w:tcMar>
            <w:vAlign w:val="top"/>
          </w:tcPr>
          <w:p>
            <w:pPr>
              <w:spacing w:before="0" w:after="20"/>
              <w:jc w:val="left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smallCaps/>
                <w:color w:val="1B2631"/>
                <w:sz w:val="21"/>
                <w:szCs w:val="21"/>
              </w:rPr>
              <w:t xml:space="preserve">Technical Skills</w:t>
            </w:r>
          </w:p>
          <w:p>
            <w:pPr>
              <w:pBdr>
                <w:bottom w:val="single" w:color="1B2631" w:sz="3" w:space="4"/>
              </w:pBd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1A1A1A"/>
                <w:sz w:val="8"/>
                <w:szCs w:val="8"/>
              </w:rPr>
              <w:t xml:space="preserve"/>
            </w:r>
          </w:p>
          <w:p>
            <w:pPr>
              <w:spacing w:before="40" w:after="0"/>
            </w:pPr>
          </w:p>
          <w:p>
            <w:pPr>
              <w:spacing w:before="0" w:after="16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mallCaps w:val="false"/>
                <w:color w:val="333333"/>
                <w:sz w:val="16"/>
                <w:szCs w:val="16"/>
              </w:rPr>
              <w:t xml:space="preserve">Python / R / Julia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smallCaps w:val="false"/>
                <w:color w:val="1B2631"/>
                <w:sz w:val="15"/>
                <w:szCs w:val="15"/>
              </w:rPr>
              <w:t xml:space="preserve">  95%</w:t>
            </w:r>
          </w:p>
          <w:tbl>
            <w:tblPr>
              <w:tblW w:type="dxa" w:w="37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515"/>
              <w:gridCol w:w="185"/>
            </w:tblGrid>
            <w:tr>
              <w:tc>
                <w:tcPr>
                  <w:tcW w:type="dxa" w:w="351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B2631" w:val="clear"/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  <w:vAlign w:val="top"/>
                </w:tcPr>
                <w:p>
                  <w:pPr>
                    <w:spacing w:before="0" w:after="8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smallCaps w:val="false"/>
                      <w:color w:val="1A1A1A"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type="dxa" w:w="18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8E8E8" w:val="clear"/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  <w:vAlign w:val="top"/>
                </w:tcPr>
                <w:p>
                  <w:pPr>
                    <w:spacing w:before="0" w:after="8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smallCaps w:val="false"/>
                      <w:color w:val="1A1A1A"/>
                      <w:sz w:val="10"/>
                      <w:szCs w:val="10"/>
                    </w:rPr>
                    <w:t xml:space="preserve"/>
                  </w:r>
                </w:p>
              </w:tc>
            </w:tr>
          </w:tbl>
          <w:p>
            <w:pPr>
              <w:spacing w:before="20" w:after="0"/>
            </w:pPr>
          </w:p>
          <w:p>
            <w:pPr>
              <w:spacing w:before="0" w:after="16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mallCaps w:val="false"/>
                <w:color w:val="333333"/>
                <w:sz w:val="16"/>
                <w:szCs w:val="16"/>
              </w:rPr>
              <w:t xml:space="preserve">Scikit-learn / XGBoost / LightGBM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smallCaps w:val="false"/>
                <w:color w:val="1B2631"/>
                <w:sz w:val="15"/>
                <w:szCs w:val="15"/>
              </w:rPr>
              <w:t xml:space="preserve">  93%</w:t>
            </w:r>
          </w:p>
          <w:tbl>
            <w:tblPr>
              <w:tblW w:type="dxa" w:w="37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441"/>
              <w:gridCol w:w="259"/>
            </w:tblGrid>
            <w:tr>
              <w:tc>
                <w:tcPr>
                  <w:tcW w:type="dxa" w:w="3441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B2631" w:val="clear"/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  <w:vAlign w:val="top"/>
                </w:tcPr>
                <w:p>
                  <w:pPr>
                    <w:spacing w:before="0" w:after="8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smallCaps w:val="false"/>
                      <w:color w:val="1A1A1A"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type="dxa" w:w="25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8E8E8" w:val="clear"/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  <w:vAlign w:val="top"/>
                </w:tcPr>
                <w:p>
                  <w:pPr>
                    <w:spacing w:before="0" w:after="8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smallCaps w:val="false"/>
                      <w:color w:val="1A1A1A"/>
                      <w:sz w:val="10"/>
                      <w:szCs w:val="10"/>
                    </w:rPr>
                    <w:t xml:space="preserve"/>
                  </w:r>
                </w:p>
              </w:tc>
            </w:tr>
          </w:tbl>
          <w:p>
            <w:pPr>
              <w:spacing w:before="20" w:after="0"/>
            </w:pPr>
          </w:p>
          <w:p>
            <w:pPr>
              <w:spacing w:before="0" w:after="16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mallCaps w:val="false"/>
                <w:color w:val="333333"/>
                <w:sz w:val="16"/>
                <w:szCs w:val="16"/>
              </w:rPr>
              <w:t xml:space="preserve">Time Series &amp; Forecasting (Prophet)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smallCaps w:val="false"/>
                <w:color w:val="1B2631"/>
                <w:sz w:val="15"/>
                <w:szCs w:val="15"/>
              </w:rPr>
              <w:t xml:space="preserve">  94%</w:t>
            </w:r>
          </w:p>
          <w:tbl>
            <w:tblPr>
              <w:tblW w:type="dxa" w:w="37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478"/>
              <w:gridCol w:w="222"/>
            </w:tblGrid>
            <w:tr>
              <w:tc>
                <w:tcPr>
                  <w:tcW w:type="dxa" w:w="347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B2631" w:val="clear"/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  <w:vAlign w:val="top"/>
                </w:tcPr>
                <w:p>
                  <w:pPr>
                    <w:spacing w:before="0" w:after="8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smallCaps w:val="false"/>
                      <w:color w:val="1A1A1A"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type="dxa" w:w="22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8E8E8" w:val="clear"/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  <w:vAlign w:val="top"/>
                </w:tcPr>
                <w:p>
                  <w:pPr>
                    <w:spacing w:before="0" w:after="8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smallCaps w:val="false"/>
                      <w:color w:val="1A1A1A"/>
                      <w:sz w:val="10"/>
                      <w:szCs w:val="10"/>
                    </w:rPr>
                    <w:t xml:space="preserve"/>
                  </w:r>
                </w:p>
              </w:tc>
            </w:tr>
          </w:tbl>
          <w:p>
            <w:pPr>
              <w:spacing w:before="20" w:after="0"/>
            </w:pPr>
          </w:p>
          <w:p>
            <w:pPr>
              <w:spacing w:before="0" w:after="16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mallCaps w:val="false"/>
                <w:color w:val="333333"/>
                <w:sz w:val="16"/>
                <w:szCs w:val="16"/>
              </w:rPr>
              <w:t xml:space="preserve">NLP &amp; Text Mining (spaCy / BERT)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smallCaps w:val="false"/>
                <w:color w:val="1B2631"/>
                <w:sz w:val="15"/>
                <w:szCs w:val="15"/>
              </w:rPr>
              <w:t xml:space="preserve">  91%</w:t>
            </w:r>
          </w:p>
          <w:tbl>
            <w:tblPr>
              <w:tblW w:type="dxa" w:w="37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367"/>
              <w:gridCol w:w="333"/>
            </w:tblGrid>
            <w:tr>
              <w:tc>
                <w:tcPr>
                  <w:tcW w:type="dxa" w:w="3367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B2631" w:val="clear"/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  <w:vAlign w:val="top"/>
                </w:tcPr>
                <w:p>
                  <w:pPr>
                    <w:spacing w:before="0" w:after="8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smallCaps w:val="false"/>
                      <w:color w:val="1A1A1A"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type="dxa" w:w="33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8E8E8" w:val="clear"/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  <w:vAlign w:val="top"/>
                </w:tcPr>
                <w:p>
                  <w:pPr>
                    <w:spacing w:before="0" w:after="8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smallCaps w:val="false"/>
                      <w:color w:val="1A1A1A"/>
                      <w:sz w:val="10"/>
                      <w:szCs w:val="10"/>
                    </w:rPr>
                    <w:t xml:space="preserve"/>
                  </w:r>
                </w:p>
              </w:tc>
            </w:tr>
          </w:tbl>
          <w:p>
            <w:pPr>
              <w:spacing w:before="20" w:after="0"/>
            </w:pPr>
          </w:p>
          <w:p>
            <w:pPr>
              <w:spacing w:before="0" w:after="16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mallCaps w:val="false"/>
                <w:color w:val="333333"/>
                <w:sz w:val="16"/>
                <w:szCs w:val="16"/>
              </w:rPr>
              <w:t xml:space="preserve">Apache Spark / Databricks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smallCaps w:val="false"/>
                <w:color w:val="1B2631"/>
                <w:sz w:val="15"/>
                <w:szCs w:val="15"/>
              </w:rPr>
              <w:t xml:space="preserve">  88%</w:t>
            </w:r>
          </w:p>
          <w:tbl>
            <w:tblPr>
              <w:tblW w:type="dxa" w:w="37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256"/>
              <w:gridCol w:w="444"/>
            </w:tblGrid>
            <w:tr>
              <w:tc>
                <w:tcPr>
                  <w:tcW w:type="dxa" w:w="325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B2631" w:val="clear"/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  <w:vAlign w:val="top"/>
                </w:tcPr>
                <w:p>
                  <w:pPr>
                    <w:spacing w:before="0" w:after="8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smallCaps w:val="false"/>
                      <w:color w:val="1A1A1A"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type="dxa" w:w="44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8E8E8" w:val="clear"/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  <w:vAlign w:val="top"/>
                </w:tcPr>
                <w:p>
                  <w:pPr>
                    <w:spacing w:before="0" w:after="8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smallCaps w:val="false"/>
                      <w:color w:val="1A1A1A"/>
                      <w:sz w:val="10"/>
                      <w:szCs w:val="10"/>
                    </w:rPr>
                    <w:t xml:space="preserve"/>
                  </w:r>
                </w:p>
              </w:tc>
            </w:tr>
          </w:tbl>
          <w:p>
            <w:pPr>
              <w:spacing w:before="20" w:after="0"/>
            </w:pPr>
          </w:p>
          <w:p>
            <w:pPr>
              <w:spacing w:before="0" w:after="16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mallCaps w:val="false"/>
                <w:color w:val="333333"/>
                <w:sz w:val="16"/>
                <w:szCs w:val="16"/>
              </w:rPr>
              <w:t xml:space="preserve">Tableau / Power BI / Looker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smallCaps w:val="false"/>
                <w:color w:val="1B2631"/>
                <w:sz w:val="15"/>
                <w:szCs w:val="15"/>
              </w:rPr>
              <w:t xml:space="preserve">  87%</w:t>
            </w:r>
          </w:p>
          <w:tbl>
            <w:tblPr>
              <w:tblW w:type="dxa" w:w="37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219"/>
              <w:gridCol w:w="481"/>
            </w:tblGrid>
            <w:tr>
              <w:tc>
                <w:tcPr>
                  <w:tcW w:type="dxa" w:w="321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B2631" w:val="clear"/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  <w:vAlign w:val="top"/>
                </w:tcPr>
                <w:p>
                  <w:pPr>
                    <w:spacing w:before="0" w:after="8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smallCaps w:val="false"/>
                      <w:color w:val="1A1A1A"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type="dxa" w:w="481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8E8E8" w:val="clear"/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  <w:vAlign w:val="top"/>
                </w:tcPr>
                <w:p>
                  <w:pPr>
                    <w:spacing w:before="0" w:after="8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smallCaps w:val="false"/>
                      <w:color w:val="1A1A1A"/>
                      <w:sz w:val="10"/>
                      <w:szCs w:val="10"/>
                    </w:rPr>
                    <w:t xml:space="preserve"/>
                  </w:r>
                </w:p>
              </w:tc>
            </w:tr>
          </w:tbl>
          <w:p>
            <w:pPr>
              <w:spacing w:before="20" w:after="0"/>
            </w:pPr>
          </w:p>
          <w:p>
            <w:pPr>
              <w:spacing w:before="40" w:after="0"/>
            </w:pPr>
          </w:p>
          <w:p>
            <w:pPr>
              <w:spacing w:before="0" w:after="20"/>
              <w:jc w:val="left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smallCaps/>
                <w:color w:val="1B2631"/>
                <w:sz w:val="21"/>
                <w:szCs w:val="21"/>
              </w:rPr>
              <w:t xml:space="preserve">Key Clients</w:t>
            </w:r>
          </w:p>
          <w:p>
            <w:pPr>
              <w:pBdr>
                <w:bottom w:val="single" w:color="1B2631" w:sz="3" w:space="4"/>
              </w:pBd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1A1A1A"/>
                <w:sz w:val="8"/>
                <w:szCs w:val="8"/>
              </w:rPr>
              <w:t xml:space="preserve"/>
            </w:r>
          </w:p>
          <w:p>
            <w:pPr>
              <w:spacing w:before="40" w:after="0"/>
            </w:pPr>
          </w:p>
          <w:p>
            <w:pPr>
              <w:spacing w:before="0" w:after="35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mallCaps w:val="false"/>
                <w:color w:val="333333"/>
                <w:sz w:val="16"/>
                <w:szCs w:val="16"/>
              </w:rPr>
              <w:t xml:space="preserve">▸ Nike</w:t>
            </w:r>
          </w:p>
          <w:p>
            <w:pPr>
              <w:spacing w:before="0" w:after="35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mallCaps w:val="false"/>
                <w:color w:val="333333"/>
                <w:sz w:val="16"/>
                <w:szCs w:val="16"/>
              </w:rPr>
              <w:t xml:space="preserve">▸ Providence Health</w:t>
            </w:r>
          </w:p>
          <w:p>
            <w:pPr>
              <w:spacing w:before="0" w:after="35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mallCaps w:val="false"/>
                <w:color w:val="333333"/>
                <w:sz w:val="16"/>
                <w:szCs w:val="16"/>
              </w:rPr>
              <w:t xml:space="preserve">▸ Boeing</w:t>
            </w:r>
          </w:p>
          <w:p>
            <w:pPr>
              <w:spacing w:before="0" w:after="35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mallCaps w:val="false"/>
                <w:color w:val="333333"/>
                <w:sz w:val="16"/>
                <w:szCs w:val="16"/>
              </w:rPr>
              <w:t xml:space="preserve">▸ KPMG</w:t>
            </w:r>
          </w:p>
          <w:p>
            <w:pPr>
              <w:spacing w:before="0" w:after="35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mallCaps w:val="false"/>
                <w:color w:val="333333"/>
                <w:sz w:val="16"/>
                <w:szCs w:val="16"/>
              </w:rPr>
              <w:t xml:space="preserve">▸ FedEx</w:t>
            </w:r>
          </w:p>
          <w:p>
            <w:pPr>
              <w:spacing w:before="0" w:after="35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mallCaps w:val="false"/>
                <w:color w:val="333333"/>
                <w:sz w:val="16"/>
                <w:szCs w:val="16"/>
              </w:rPr>
              <w:t xml:space="preserve">▸ Intel Corporation</w:t>
            </w:r>
          </w:p>
        </w:tc>
      </w:tr>
    </w:tbl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cs="Cambria" w:eastAsia="Cambria" w:hAnsi="Cambri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2026-03-16T12:46:40.996Z</dcterms:created>
  <dcterms:modified xsi:type="dcterms:W3CDTF">2026-03-16T12:46:40.996Z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