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FFFFFF"/>
                <w:sz w:val="56"/>
                <w:szCs w:val="56"/>
              </w:rPr>
              <w:t xml:space="preserve">James Okonkwo</w:t>
            </w:r>
          </w:p>
          <w:p>
            <w:pPr>
              <w:spacing w:before="0" w:after="5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DDDDDD"/>
                <w:sz w:val="23"/>
                <w:szCs w:val="23"/>
              </w:rPr>
              <w:t xml:space="preserve">Enterprise Solutions Architect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2400"/>
              <w:gridCol w:w="2160"/>
              <w:gridCol w:w="16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AACCDD"/>
                      <w:sz w:val="16"/>
                      <w:szCs w:val="16"/>
                    </w:rPr>
                    <w:t xml:space="preserve">✉ </w:t>
                  </w: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EEEEEE"/>
                      <w:sz w:val="16"/>
                      <w:szCs w:val="16"/>
                    </w:rPr>
                    <w:t xml:space="preserve">j.okonkwo@enterprise.io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AACCDD"/>
                      <w:sz w:val="16"/>
                      <w:szCs w:val="16"/>
                    </w:rPr>
                    <w:t xml:space="preserve">☎ </w:t>
                  </w: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EEEEEE"/>
                      <w:sz w:val="16"/>
                      <w:szCs w:val="16"/>
                    </w:rPr>
                    <w:t xml:space="preserve">+1 (713) 894-3356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AACCDD"/>
                      <w:sz w:val="16"/>
                      <w:szCs w:val="16"/>
                    </w:rPr>
                    <w:t xml:space="preserve">⌂ </w:t>
                  </w: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EEEEEE"/>
                      <w:sz w:val="16"/>
                      <w:szCs w:val="16"/>
                    </w:rPr>
                    <w:t xml:space="preserve">Houston, TX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AACCDD"/>
                      <w:sz w:val="16"/>
                      <w:szCs w:val="16"/>
                    </w:rPr>
                    <w:t xml:space="preserve">linkedin.com/in/jamesokonkwo</w:t>
                  </w:r>
                </w:p>
              </w:tc>
            </w:tr>
          </w:tbl>
          <w:p/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F4EC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4A235A"/>
                <w:sz w:val="16"/>
                <w:szCs w:val="16"/>
              </w:rPr>
              <w:t xml:space="preserve">EXECUTIVE PROFILE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2C2C2C"/>
                <w:sz w:val="18"/>
                <w:szCs w:val="18"/>
              </w:rPr>
              <w:t xml:space="preserve">Distinguished Enterprise Solutions Architect with 13 years designing and delivering mission-critical systems for energy, healthcare, and manufacturing at global scale. SAP, Oracle, and Salesforce ecosystem authority. Track record of leading $300M+ digital transformation programs with measurable business impact and executive stakeholder alignment.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4A235A"/>
                <w:sz w:val="16"/>
                <w:szCs w:val="16"/>
              </w:rPr>
              <w:t xml:space="preserve">CORE COMPETENCIES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SAP S/4HANA / ECC / BTP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15"/>
                    <w:gridCol w:w="85"/>
                    <w:gridCol w:w="480"/>
                  </w:tblGrid>
                  <w:tr>
                    <w:tc>
                      <w:tcPr>
                        <w:tcW w:type="dxa" w:w="161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8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95%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Oracle EBS / Cloud Fusion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30"/>
                    <w:gridCol w:w="170"/>
                    <w:gridCol w:w="480"/>
                  </w:tblGrid>
                  <w:tr>
                    <w:tc>
                      <w:tcPr>
                        <w:tcW w:type="dxa" w:w="15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90%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Salesforce / MuleSoft Integration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79"/>
                    <w:gridCol w:w="221"/>
                    <w:gridCol w:w="480"/>
                  </w:tblGrid>
                  <w:tr>
                    <w:tc>
                      <w:tcPr>
                        <w:tcW w:type="dxa" w:w="1479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2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87%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52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Azure / AWS Cloud Architecture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45"/>
                    <w:gridCol w:w="255"/>
                    <w:gridCol w:w="480"/>
                  </w:tblGrid>
                  <w:tr>
                    <w:tc>
                      <w:tcPr>
                        <w:tcW w:type="dxa" w:w="144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85%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Enterprise &amp; Solution Architecture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81"/>
                    <w:gridCol w:w="119"/>
                    <w:gridCol w:w="480"/>
                  </w:tblGrid>
                  <w:tr>
                    <w:tc>
                      <w:tcPr>
                        <w:tcW w:type="dxa" w:w="1581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9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93%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1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 Narrow" w:cs="Arial Narrow" w:eastAsia="Arial Narrow" w:hAnsi="Arial Narrow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Program &amp; Portfolio Management</w:t>
                  </w:r>
                </w:p>
              </w:tc>
              <w:tc>
                <w:tcPr>
                  <w:tcW w:type="dxa" w:w="2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1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47"/>
                    <w:gridCol w:w="153"/>
                    <w:gridCol w:w="480"/>
                  </w:tblGrid>
                  <w:tr>
                    <w:tc>
                      <w:tcPr>
                        <w:tcW w:type="dxa" w:w="154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235A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53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Arial Narrow" w:cs="Arial Narrow" w:eastAsia="Arial Narrow" w:hAnsi="Arial Narrow"/>
                            <w:b/>
                            <w:bCs/>
                            <w:i w:val="false"/>
                            <w:iCs w:val="false"/>
                            <w:smallCaps w:val="false"/>
                            <w:color w:val="4A235A"/>
                            <w:sz w:val="16"/>
                            <w:szCs w:val="16"/>
                          </w:rPr>
                          <w:t xml:space="preserve">91%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</w:tr>
    </w:tbl>
    <w:p>
      <w:pPr>
        <w:spacing w:before="100" w:after="0"/>
      </w:pPr>
    </w:p>
    <w:p>
      <w:pPr>
        <w:spacing w:before="0" w:after="40"/>
        <w:jc w:val="left"/>
      </w:pPr>
      <w:r>
        <w:rPr>
          <w:rFonts w:ascii="Arial Narrow" w:cs="Arial Narrow" w:eastAsia="Arial Narrow" w:hAnsi="Arial Narrow"/>
          <w:b/>
          <w:bCs/>
          <w:i w:val="false"/>
          <w:iCs w:val="false"/>
          <w:smallCaps w:val="false"/>
          <w:color w:val="4A235A"/>
          <w:sz w:val="16"/>
          <w:szCs w:val="16"/>
        </w:rPr>
        <w:t xml:space="preserve">PROFESSIONAL EXPERIENCE</w:t>
      </w:r>
    </w:p>
    <w:p>
      <w:pPr>
        <w:pBdr>
          <w:bottom w:val="single" w:color="4A235A" w:sz="3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ExxonMobil Corporation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7"/>
                <w:szCs w:val="17"/>
              </w:rPr>
              <w:t xml:space="preserve">Chief Enterprise Architect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Feb 2020 – Present</w:t>
            </w:r>
          </w:p>
          <w:p>
            <w:pPr>
              <w:spacing w:before="0" w:after="8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EEEEEE"/>
                <w:sz w:val="14"/>
                <w:szCs w:val="14"/>
              </w:rPr>
              <w:t xml:space="preserve">Houston, TX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Led SAP S/4HANA global rollout across 40 countries affecting 25,000 users, delivered on time and 8% under budget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Designed enterprise integration architecture connecting 80+ legacy systems to SAP via MuleSoft and Azure Service Bus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Achieved $60M annual cost reduction through process automation and system consolidation initiatives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Built and managed Enterprise Architecture governance board with 12 senior technology leaders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Accenture Technology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7"/>
                <w:szCs w:val="17"/>
              </w:rPr>
              <w:t xml:space="preserve">Solutions Architect – Energy &amp; Utilities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Jun 2016 – Jan 2020</w:t>
            </w:r>
          </w:p>
          <w:p>
            <w:pPr>
              <w:spacing w:before="0" w:after="8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EEEEEE"/>
                <w:sz w:val="14"/>
                <w:szCs w:val="14"/>
              </w:rPr>
              <w:t xml:space="preserve">Houston, TX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Delivered SAP and Oracle ERP implementations for 6 energy and manufacturing clients totaling $180M in fees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Led delivery teams of 20–30 consultants across North America, Europe, and Asia Pacific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Achieved 97% client satisfaction score across all engagements through rigorous quality management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Promoted from Senior Manager to Managing Director in 3 years, fastest in Energy practice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Shell plc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7"/>
                <w:szCs w:val="17"/>
              </w:rPr>
              <w:t xml:space="preserve">IT Solutions Architect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Mar 2013 – May 2016</w:t>
            </w:r>
          </w:p>
          <w:p>
            <w:pPr>
              <w:spacing w:before="0" w:after="8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EEEEEE"/>
                <w:sz w:val="14"/>
                <w:szCs w:val="14"/>
              </w:rPr>
              <w:t xml:space="preserve">Houston, TX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Designed upstream production data management platform ingesting real-time data from 200+ oil fields globally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Reduced data reporting latency from 24 hours to near-real-time, enabling same-day operational decisions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Led digital transformation of well lifecycle management reducing well planning cycle time by 30%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Managed $15M architecture program with 4 system integrator partners and 60+ team members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IBM Global Business Services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7"/>
                <w:szCs w:val="17"/>
              </w:rPr>
              <w:t xml:space="preserve">Senior Systems Consultant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Aug 2010 – Feb 2013</w:t>
            </w:r>
          </w:p>
          <w:p>
            <w:pPr>
              <w:spacing w:before="0" w:after="8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EEEEEE"/>
                <w:sz w:val="14"/>
                <w:szCs w:val="14"/>
              </w:rPr>
              <w:t xml:space="preserve">Dallas, TX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Delivered infrastructure and middleware solutions for 8 Fortune 500 clients across financial and retail sectors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Managed $8M+ client engagement portfolios simultaneously, maintaining 95% delivery on-time rate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Architected enterprise service bus (ESB) connecting 25+ systems for major US bank, reducing integration failures 70%</w:t>
      </w:r>
    </w:p>
    <w:p>
      <w:pPr>
        <w:pStyle w:val="ListParagraph"/>
        <w:numPr>
          <w:ilvl w:val="0"/>
          <w:numId w:val="2"/>
        </w:numPr>
        <w:spacing w:before="0" w:after="30"/>
        <w:jc w:val="left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mallCaps w:val="false"/>
          <w:color w:val="333333"/>
          <w:sz w:val="16"/>
          <w:szCs w:val="16"/>
        </w:rPr>
        <w:t xml:space="preserve">Received IBM Outstanding Delivery Award for exceptional client outcome in first year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4A235A"/>
                <w:sz w:val="15"/>
                <w:szCs w:val="15"/>
              </w:rPr>
              <w:t xml:space="preserve">EDUCATION</w:t>
            </w:r>
          </w:p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17"/>
                <w:szCs w:val="17"/>
              </w:rPr>
              <w:t xml:space="preserve">B.Eng. Computer Science</w:t>
            </w:r>
          </w:p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5"/>
                <w:szCs w:val="15"/>
              </w:rPr>
              <w:t xml:space="preserve">University of Lagos  ·  2008</w:t>
            </w:r>
          </w:p>
          <w:p>
            <w:pPr>
              <w:spacing w:before="0" w:after="0"/>
            </w:pPr>
          </w:p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1A1A1A"/>
                <w:sz w:val="17"/>
                <w:szCs w:val="17"/>
              </w:rPr>
              <w:t xml:space="preserve">M.S. Information Technology Management</w:t>
            </w:r>
          </w:p>
          <w:p>
            <w:pPr>
              <w:spacing w:before="0" w:after="2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mallCaps w:val="false"/>
                <w:color w:val="6C3483"/>
                <w:sz w:val="15"/>
                <w:szCs w:val="15"/>
              </w:rPr>
              <w:t xml:space="preserve">University of Texas at Austin  ·  2010</w:t>
            </w:r>
          </w:p>
          <w:p>
            <w:pPr>
              <w:spacing w:before="0" w:after="8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777777"/>
                <w:sz w:val="14"/>
                <w:szCs w:val="14"/>
              </w:rPr>
              <w:t xml:space="preserve">McCombs School of Business Dean's Award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4A235A"/>
                <w:sz w:val="15"/>
                <w:szCs w:val="15"/>
              </w:rPr>
              <w:t xml:space="preserve">CERTIFICATIONS</w:t>
            </w:r>
          </w:p>
          <w:p>
            <w:pPr>
              <w:spacing w:before="0" w:after="35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◆ SAP Certified Application Architect</w:t>
            </w:r>
          </w:p>
          <w:p>
            <w:pPr>
              <w:spacing w:before="0" w:after="35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◆ TOGAF 9.2 Enterprise Architect</w:t>
            </w:r>
          </w:p>
          <w:p>
            <w:pPr>
              <w:spacing w:before="0" w:after="35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◆ Project Management Professional (PMP)</w:t>
            </w:r>
          </w:p>
          <w:p>
            <w:pPr>
              <w:spacing w:before="0" w:after="35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◆ AWS Certified Solutions Architect – Associate</w:t>
            </w:r>
          </w:p>
          <w:p>
            <w:pPr>
              <w:spacing w:before="40" w:after="0"/>
            </w:pPr>
          </w:p>
          <w:p>
            <w:pPr>
              <w:spacing w:before="0" w:after="4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mallCaps w:val="false"/>
                <w:color w:val="4A235A"/>
                <w:sz w:val="15"/>
                <w:szCs w:val="15"/>
              </w:rPr>
              <w:t xml:space="preserve">CLIENTS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ExxonMobil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Shell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Accenture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IBM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Chevron</w:t>
            </w:r>
          </w:p>
          <w:p>
            <w:pPr>
              <w:spacing w:before="0" w:after="3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BP plc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2026-03-16T12:46:41.007Z</dcterms:created>
  <dcterms:modified xsi:type="dcterms:W3CDTF">2026-03-16T12:46:41.007Z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