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20"/>
        <w:gridCol w:w="2640"/>
      </w:tblGrid>
      <w:tr>
        <w:tc>
          <w:tcPr>
            <w:tcW w:type="dxa" w:w="6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360"/>
              <w:bottom w:type="dxa" w:w="360"/>
              <w:right w:type="dxa" w:w="2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mallCaps w:val="false"/>
                <w:color w:val="7B241C"/>
                <w:sz w:val="46"/>
                <w:szCs w:val="46"/>
              </w:rPr>
              <w:t xml:space="preserve">Natasha Ivanova</w:t>
            </w:r>
          </w:p>
          <w:p>
            <w:pPr>
              <w:spacing w:before="0" w:after="2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/>
                <w:iCs/>
                <w:smallCaps w:val="false"/>
                <w:color w:val="555555"/>
                <w:sz w:val="20"/>
                <w:szCs w:val="20"/>
              </w:rPr>
              <w:t xml:space="preserve">Platform Engineering Manager</w:t>
            </w:r>
          </w:p>
          <w:p>
            <w:pPr>
              <w:spacing w:before="0" w:after="6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666666"/>
                <w:sz w:val="15"/>
                <w:szCs w:val="15"/>
              </w:rPr>
              <w:t xml:space="preserve">natasha.ivanova@plateng.com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CCCCCC"/>
                <w:sz w:val="15"/>
                <w:szCs w:val="15"/>
              </w:rPr>
              <w:t xml:space="preserve">  |  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666666"/>
                <w:sz w:val="15"/>
                <w:szCs w:val="15"/>
              </w:rPr>
              <w:t xml:space="preserve">+1 (617) 443-7788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CCCCCC"/>
                <w:sz w:val="15"/>
                <w:szCs w:val="15"/>
              </w:rPr>
              <w:t xml:space="preserve">  |  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666666"/>
                <w:sz w:val="15"/>
                <w:szCs w:val="15"/>
              </w:rPr>
              <w:t xml:space="preserve">Boston, MA</w:t>
            </w:r>
          </w:p>
          <w:p>
            <w:pPr>
              <w:pBdr>
                <w:bottom w:val="single" w:color="7B241C" w:sz="4" w:space="4"/>
              </w:pBd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A1A"/>
                <w:sz w:val="8"/>
                <w:szCs w:val="8"/>
              </w:rPr>
              <w:t xml:space="preserve"/>
            </w:r>
          </w:p>
          <w:p>
            <w:pPr>
              <w:spacing w:before="60" w:after="0"/>
            </w:pPr>
          </w:p>
          <w:p>
            <w:pPr>
              <w:spacing w:before="0" w:after="12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Transformational Engineering leader with 11 years building world-class platform teams and internal developer products. Scaled engineering organizations from 8 to 80+ engineers. Deep expertise in Internal Developer Platforms, SRE culture, and FinOps. Passionate about creating developer experiences that multiply team productivity and joy.</w:t>
            </w:r>
          </w:p>
          <w:p>
            <w:pPr>
              <w:pBdr>
                <w:bottom w:val="single" w:color="7B241C" w:sz="2" w:space="4"/>
              </w:pBdr>
              <w:spacing w:before="0" w:after="4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mallCaps w:val="false"/>
                <w:color w:val="7B241C"/>
                <w:sz w:val="20"/>
                <w:szCs w:val="20"/>
              </w:rPr>
              <w:t xml:space="preserve">Experience</w:t>
            </w:r>
          </w:p>
          <w:p>
            <w:pPr>
              <w:spacing w:before="40" w:after="0"/>
            </w:pPr>
          </w:p>
          <w:tbl>
            <w:tblPr>
              <w:tblW w:type="dxa" w:w="6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0"/>
              <w:gridCol w:w="1800"/>
            </w:tblGrid>
            <w:tr>
              <w:tc>
                <w:tcPr>
                  <w:tcW w:type="dxa" w:w="4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Tahoma" w:cs="Tahoma" w:eastAsia="Tahoma" w:hAnsi="Tahoma"/>
                      <w:b/>
                      <w:bCs/>
                      <w:i w:val="false"/>
                      <w:iCs w:val="false"/>
                      <w:smallCaps w:val="false"/>
                      <w:color w:val="1A1A1A"/>
                      <w:sz w:val="19"/>
                      <w:szCs w:val="19"/>
                    </w:rPr>
                    <w:t xml:space="preserve">HubSpot</w:t>
                  </w:r>
                </w:p>
                <w:p>
                  <w:pPr>
                    <w:spacing w:before="0" w:after="16"/>
                    <w:jc w:val="left"/>
                  </w:pPr>
                  <w:r>
                    <w:rPr>
                      <w:rFonts w:ascii="Tahoma" w:cs="Tahoma" w:eastAsia="Tahoma" w:hAnsi="Tahoma"/>
                      <w:b w:val="false"/>
                      <w:bCs w:val="false"/>
                      <w:i/>
                      <w:iCs/>
                      <w:smallCaps w:val="false"/>
                      <w:color w:val="A93226"/>
                      <w:sz w:val="16"/>
                      <w:szCs w:val="16"/>
                    </w:rPr>
                    <w:t xml:space="preserve">Engineering Manager – Developer Platform</w:t>
                  </w:r>
                  <w:r>
                    <w:rPr>
                      <w:rFonts w:ascii="Tahoma" w:cs="Tahoma" w:eastAsia="Tahoma" w:hAnsi="Tahoma"/>
                      <w:b w:val="false"/>
                      <w:bCs w:val="false"/>
                      <w:i w:val="false"/>
                      <w:iCs w:val="false"/>
                      <w:smallCaps w:val="false"/>
                      <w:color w:val="888888"/>
                      <w:sz w:val="15"/>
                      <w:szCs w:val="15"/>
                    </w:rPr>
                    <w:t xml:space="preserve">  ·  Cambridge, MA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tbl>
                  <w:tblPr>
                    <w:tblW w:type="dxa" w:w="1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800"/>
                  </w:tblGrid>
                  <w:tr>
                    <w:tc>
                      <w:tcPr>
                        <w:tcW w:type="dxa" w:w="18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7B241C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center"/>
                        </w:pPr>
                        <w:r>
                          <w:rPr>
                            <w:rFonts w:ascii="Tahoma" w:cs="Tahoma" w:eastAsia="Tahoma" w:hAnsi="Tahoma"/>
                            <w:b/>
                            <w:bCs/>
                            <w:i w:val="false"/>
                            <w:iCs w:val="false"/>
                            <w:smallCaps w:val="false"/>
                            <w:color w:val="FFFFFF"/>
                            <w:sz w:val="14"/>
                            <w:szCs w:val="14"/>
                          </w:rPr>
                          <w:t xml:space="preserve">Apr 2021 – Present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before="0" w:after="2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444444"/>
                <w:sz w:val="15"/>
                <w:szCs w:val="15"/>
              </w:rPr>
              <w:t xml:space="preserve">Built and scaled Internal Developer Platform serving 1,200+ engineers, reducing deployment time from 2 hours to 8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444444"/>
                <w:sz w:val="15"/>
                <w:szCs w:val="15"/>
              </w:rPr>
              <w:t xml:space="preserve">Grew platform team from 6 to 28 engineers through strategic hiring, developing top-tier talent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444444"/>
                <w:sz w:val="15"/>
                <w:szCs w:val="15"/>
              </w:rPr>
              <w:t xml:space="preserve">Reduced cloud infrastructure spend by $4.2M annually through FinOps practices and resource optimization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444444"/>
                <w:sz w:val="15"/>
                <w:szCs w:val="15"/>
              </w:rPr>
              <w:t xml:space="preserve">Established HubSpot Engineering Craft initiative improving developer satisfaction scores from 6.2 to 8.8/10</w:t>
            </w:r>
          </w:p>
          <w:p>
            <w:pPr>
              <w:spacing w:before="50" w:after="0"/>
            </w:pPr>
          </w:p>
          <w:tbl>
            <w:tblPr>
              <w:tblW w:type="dxa" w:w="6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0"/>
              <w:gridCol w:w="1800"/>
            </w:tblGrid>
            <w:tr>
              <w:tc>
                <w:tcPr>
                  <w:tcW w:type="dxa" w:w="4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Tahoma" w:cs="Tahoma" w:eastAsia="Tahoma" w:hAnsi="Tahoma"/>
                      <w:b/>
                      <w:bCs/>
                      <w:i w:val="false"/>
                      <w:iCs w:val="false"/>
                      <w:smallCaps w:val="false"/>
                      <w:color w:val="1A1A1A"/>
                      <w:sz w:val="19"/>
                      <w:szCs w:val="19"/>
                    </w:rPr>
                    <w:t xml:space="preserve">Wayfair</w:t>
                  </w:r>
                </w:p>
                <w:p>
                  <w:pPr>
                    <w:spacing w:before="0" w:after="16"/>
                    <w:jc w:val="left"/>
                  </w:pPr>
                  <w:r>
                    <w:rPr>
                      <w:rFonts w:ascii="Tahoma" w:cs="Tahoma" w:eastAsia="Tahoma" w:hAnsi="Tahoma"/>
                      <w:b w:val="false"/>
                      <w:bCs w:val="false"/>
                      <w:i/>
                      <w:iCs/>
                      <w:smallCaps w:val="false"/>
                      <w:color w:val="A93226"/>
                      <w:sz w:val="16"/>
                      <w:szCs w:val="16"/>
                    </w:rPr>
                    <w:t xml:space="preserve">Senior Staff Engineer – Platform</w:t>
                  </w:r>
                  <w:r>
                    <w:rPr>
                      <w:rFonts w:ascii="Tahoma" w:cs="Tahoma" w:eastAsia="Tahoma" w:hAnsi="Tahoma"/>
                      <w:b w:val="false"/>
                      <w:bCs w:val="false"/>
                      <w:i w:val="false"/>
                      <w:iCs w:val="false"/>
                      <w:smallCaps w:val="false"/>
                      <w:color w:val="888888"/>
                      <w:sz w:val="15"/>
                      <w:szCs w:val="15"/>
                    </w:rPr>
                    <w:t xml:space="preserve">  ·  Boston, MA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tbl>
                  <w:tblPr>
                    <w:tblW w:type="dxa" w:w="1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800"/>
                  </w:tblGrid>
                  <w:tr>
                    <w:tc>
                      <w:tcPr>
                        <w:tcW w:type="dxa" w:w="18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7B241C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center"/>
                        </w:pPr>
                        <w:r>
                          <w:rPr>
                            <w:rFonts w:ascii="Tahoma" w:cs="Tahoma" w:eastAsia="Tahoma" w:hAnsi="Tahoma"/>
                            <w:b/>
                            <w:bCs/>
                            <w:i w:val="false"/>
                            <w:iCs w:val="false"/>
                            <w:smallCaps w:val="false"/>
                            <w:color w:val="FFFFFF"/>
                            <w:sz w:val="14"/>
                            <w:szCs w:val="14"/>
                          </w:rPr>
                          <w:t xml:space="preserve">Jul 2018 – Mar 2021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before="0" w:after="2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444444"/>
                <w:sz w:val="15"/>
                <w:szCs w:val="15"/>
              </w:rPr>
              <w:t xml:space="preserve">Architected Kubernetes-based microservices platform processing 3M+ customer orders per day reliably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444444"/>
                <w:sz w:val="15"/>
                <w:szCs w:val="15"/>
              </w:rPr>
              <w:t xml:space="preserve">Implemented FinOps program and cost attribution framework saving $8M annually in cloud spend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444444"/>
                <w:sz w:val="15"/>
                <w:szCs w:val="15"/>
              </w:rPr>
              <w:t xml:space="preserve">Led technical design reviews for 200+ microservices across 12 engineering teams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444444"/>
                <w:sz w:val="15"/>
                <w:szCs w:val="15"/>
              </w:rPr>
              <w:t xml:space="preserve">Served as tech lead for Wayfair's Black Friday infrastructure, achieving 0 downtime for 3 consecutive years</w:t>
            </w:r>
          </w:p>
          <w:p>
            <w:pPr>
              <w:spacing w:before="50" w:after="0"/>
            </w:pPr>
          </w:p>
          <w:tbl>
            <w:tblPr>
              <w:tblW w:type="dxa" w:w="6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0"/>
              <w:gridCol w:w="1800"/>
            </w:tblGrid>
            <w:tr>
              <w:tc>
                <w:tcPr>
                  <w:tcW w:type="dxa" w:w="4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Tahoma" w:cs="Tahoma" w:eastAsia="Tahoma" w:hAnsi="Tahoma"/>
                      <w:b/>
                      <w:bCs/>
                      <w:i w:val="false"/>
                      <w:iCs w:val="false"/>
                      <w:smallCaps w:val="false"/>
                      <w:color w:val="1A1A1A"/>
                      <w:sz w:val="19"/>
                      <w:szCs w:val="19"/>
                    </w:rPr>
                    <w:t xml:space="preserve">Akamai Technologies</w:t>
                  </w:r>
                </w:p>
                <w:p>
                  <w:pPr>
                    <w:spacing w:before="0" w:after="16"/>
                    <w:jc w:val="left"/>
                  </w:pPr>
                  <w:r>
                    <w:rPr>
                      <w:rFonts w:ascii="Tahoma" w:cs="Tahoma" w:eastAsia="Tahoma" w:hAnsi="Tahoma"/>
                      <w:b w:val="false"/>
                      <w:bCs w:val="false"/>
                      <w:i/>
                      <w:iCs/>
                      <w:smallCaps w:val="false"/>
                      <w:color w:val="A93226"/>
                      <w:sz w:val="16"/>
                      <w:szCs w:val="16"/>
                    </w:rPr>
                    <w:t xml:space="preserve">Site Reliability Engineer III</w:t>
                  </w:r>
                  <w:r>
                    <w:rPr>
                      <w:rFonts w:ascii="Tahoma" w:cs="Tahoma" w:eastAsia="Tahoma" w:hAnsi="Tahoma"/>
                      <w:b w:val="false"/>
                      <w:bCs w:val="false"/>
                      <w:i w:val="false"/>
                      <w:iCs w:val="false"/>
                      <w:smallCaps w:val="false"/>
                      <w:color w:val="888888"/>
                      <w:sz w:val="15"/>
                      <w:szCs w:val="15"/>
                    </w:rPr>
                    <w:t xml:space="preserve">  ·  Cambridge, MA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tbl>
                  <w:tblPr>
                    <w:tblW w:type="dxa" w:w="1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800"/>
                  </w:tblGrid>
                  <w:tr>
                    <w:tc>
                      <w:tcPr>
                        <w:tcW w:type="dxa" w:w="18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7B241C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center"/>
                        </w:pPr>
                        <w:r>
                          <w:rPr>
                            <w:rFonts w:ascii="Tahoma" w:cs="Tahoma" w:eastAsia="Tahoma" w:hAnsi="Tahoma"/>
                            <w:b/>
                            <w:bCs/>
                            <w:i w:val="false"/>
                            <w:iCs w:val="false"/>
                            <w:smallCaps w:val="false"/>
                            <w:color w:val="FFFFFF"/>
                            <w:sz w:val="14"/>
                            <w:szCs w:val="14"/>
                          </w:rPr>
                          <w:t xml:space="preserve">Mar 2015 – Jun 2018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before="0" w:after="2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444444"/>
                <w:sz w:val="15"/>
                <w:szCs w:val="15"/>
              </w:rPr>
              <w:t xml:space="preserve">Maintained 99.999% uptime for CDN serving 2.5 trillion requests daily across 4,000+ global servers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444444"/>
                <w:sz w:val="15"/>
                <w:szCs w:val="15"/>
              </w:rPr>
              <w:t xml:space="preserve">Built chaos engineering framework (Akamai Chaos Monkey) enabling safe fault injection testing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444444"/>
                <w:sz w:val="15"/>
                <w:szCs w:val="15"/>
              </w:rPr>
              <w:t xml:space="preserve">Automated 85% of operational runbooks, reducing on-call engineer toil from 40% to 8% of work week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444444"/>
                <w:sz w:val="15"/>
                <w:szCs w:val="15"/>
              </w:rPr>
              <w:t xml:space="preserve">Mentored 6 junior SREs, with 4 promoted to senior level within 18 months of mentorship program</w:t>
            </w:r>
          </w:p>
          <w:p>
            <w:pPr>
              <w:spacing w:before="50" w:after="0"/>
            </w:pPr>
          </w:p>
          <w:tbl>
            <w:tblPr>
              <w:tblW w:type="dxa" w:w="6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0"/>
              <w:gridCol w:w="1800"/>
            </w:tblGrid>
            <w:tr>
              <w:tc>
                <w:tcPr>
                  <w:tcW w:type="dxa" w:w="4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Tahoma" w:cs="Tahoma" w:eastAsia="Tahoma" w:hAnsi="Tahoma"/>
                      <w:b/>
                      <w:bCs/>
                      <w:i w:val="false"/>
                      <w:iCs w:val="false"/>
                      <w:smallCaps w:val="false"/>
                      <w:color w:val="1A1A1A"/>
                      <w:sz w:val="19"/>
                      <w:szCs w:val="19"/>
                    </w:rPr>
                    <w:t xml:space="preserve">VMware</w:t>
                  </w:r>
                </w:p>
                <w:p>
                  <w:pPr>
                    <w:spacing w:before="0" w:after="16"/>
                    <w:jc w:val="left"/>
                  </w:pPr>
                  <w:r>
                    <w:rPr>
                      <w:rFonts w:ascii="Tahoma" w:cs="Tahoma" w:eastAsia="Tahoma" w:hAnsi="Tahoma"/>
                      <w:b w:val="false"/>
                      <w:bCs w:val="false"/>
                      <w:i/>
                      <w:iCs/>
                      <w:smallCaps w:val="false"/>
                      <w:color w:val="A93226"/>
                      <w:sz w:val="16"/>
                      <w:szCs w:val="16"/>
                    </w:rPr>
                    <w:t xml:space="preserve">Systems Engineer</w:t>
                  </w:r>
                  <w:r>
                    <w:rPr>
                      <w:rFonts w:ascii="Tahoma" w:cs="Tahoma" w:eastAsia="Tahoma" w:hAnsi="Tahoma"/>
                      <w:b w:val="false"/>
                      <w:bCs w:val="false"/>
                      <w:i w:val="false"/>
                      <w:iCs w:val="false"/>
                      <w:smallCaps w:val="false"/>
                      <w:color w:val="888888"/>
                      <w:sz w:val="15"/>
                      <w:szCs w:val="15"/>
                    </w:rPr>
                    <w:t xml:space="preserve">  ·  Palo Alto, CA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tbl>
                  <w:tblPr>
                    <w:tblW w:type="dxa" w:w="1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800"/>
                  </w:tblGrid>
                  <w:tr>
                    <w:tc>
                      <w:tcPr>
                        <w:tcW w:type="dxa" w:w="18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7B241C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center"/>
                        </w:pPr>
                        <w:r>
                          <w:rPr>
                            <w:rFonts w:ascii="Tahoma" w:cs="Tahoma" w:eastAsia="Tahoma" w:hAnsi="Tahoma"/>
                            <w:b/>
                            <w:bCs/>
                            <w:i w:val="false"/>
                            <w:iCs w:val="false"/>
                            <w:smallCaps w:val="false"/>
                            <w:color w:val="FFFFFF"/>
                            <w:sz w:val="14"/>
                            <w:szCs w:val="14"/>
                          </w:rPr>
                          <w:t xml:space="preserve">Jul 2012 – Feb 2015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before="0" w:after="2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444444"/>
                <w:sz w:val="15"/>
                <w:szCs w:val="15"/>
              </w:rPr>
              <w:t xml:space="preserve">Delivered vSphere, NSX, and vSAN implementation projects for 12 enterprise financial and government clients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444444"/>
                <w:sz w:val="15"/>
                <w:szCs w:val="15"/>
              </w:rPr>
              <w:t xml:space="preserve">Managed production environments of 10,000+ VMs with 99.97% availability SLA adherence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444444"/>
                <w:sz w:val="15"/>
                <w:szCs w:val="15"/>
              </w:rPr>
              <w:t xml:space="preserve">Built automated VM provisioning workflow reducing deployment time from 2 days to 45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444444"/>
                <w:sz w:val="15"/>
                <w:szCs w:val="15"/>
              </w:rPr>
              <w:t xml:space="preserve">Achieved VMware Certified Advanced Professional (VCAP) certification in first year of employment</w:t>
            </w:r>
          </w:p>
          <w:p>
            <w:pPr>
              <w:spacing w:before="50" w:after="0"/>
            </w:pP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60"/>
              <w:left w:type="dxa" w:w="240"/>
              <w:bottom w:type="dxa" w:w="3000"/>
              <w:right w:type="dxa" w:w="240"/>
            </w:tcMar>
            <w:vAlign w:val="top"/>
          </w:tcPr>
          <w:p>
            <w:pPr>
              <w:spacing w:before="0" w:after="60"/>
            </w:pPr>
          </w:p>
          <w:p>
            <w:pPr>
              <w:spacing w:before="0" w:after="4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mallCaps w:val="false"/>
                <w:color w:val="FFFFFF"/>
                <w:sz w:val="18"/>
                <w:szCs w:val="18"/>
              </w:rPr>
              <w:t xml:space="preserve">Skills</w:t>
            </w:r>
          </w:p>
          <w:p>
            <w:pPr>
              <w:spacing w:before="0" w:after="1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DDDDDD"/>
                <w:sz w:val="13"/>
                <w:szCs w:val="13"/>
              </w:rPr>
              <w:t xml:space="preserve">Kubernetes / Helm / ArgoCD</w:t>
            </w:r>
          </w:p>
          <w:tbl>
            <w:tblPr>
              <w:tblW w:type="dxa" w:w="1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34"/>
              <w:gridCol w:w="86"/>
              <w:gridCol w:w="240"/>
            </w:tblGrid>
            <w:tr>
              <w:tc>
                <w:tcPr>
                  <w:tcW w:type="dxa" w:w="16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0F0" w:val="clear"/>
                  <w:tcMar>
                    <w:top w:type="dxa" w:w="35"/>
                    <w:left w:type="dxa" w:w="0"/>
                    <w:bottom w:type="dxa" w:w="35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8"/>
                      <w:szCs w:val="8"/>
                    </w:rPr>
                    <w:t xml:space="preserve"/>
                  </w:r>
                </w:p>
              </w:tc>
              <w:tc>
                <w:tcPr>
                  <w:tcW w:type="dxa" w:w="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4A4A" w:val="clear"/>
                  <w:tcMar>
                    <w:top w:type="dxa" w:w="35"/>
                    <w:left w:type="dxa" w:w="0"/>
                    <w:bottom w:type="dxa" w:w="35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8"/>
                      <w:szCs w:val="8"/>
                    </w:rPr>
                    <w:t xml:space="preserve"/>
                  </w:r>
                </w:p>
              </w:tc>
              <w:tc>
                <w:tcPr>
                  <w:tcW w:type="dxa" w:w="2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Tahoma" w:cs="Tahoma" w:eastAsia="Tahoma" w:hAnsi="Tahoma"/>
                      <w:b/>
                      <w:bCs/>
                      <w:i w:val="false"/>
                      <w:iCs w:val="false"/>
                      <w:smallCaps w:val="false"/>
                      <w:color w:val="FFFFFF"/>
                      <w:sz w:val="12"/>
                      <w:szCs w:val="12"/>
                    </w:rPr>
                    <w:t xml:space="preserve">95%</w:t>
                  </w:r>
                </w:p>
              </w:tc>
            </w:tr>
          </w:tbl>
          <w:p>
            <w:pPr>
              <w:spacing w:before="16" w:after="0"/>
            </w:pPr>
          </w:p>
          <w:p>
            <w:pPr>
              <w:spacing w:before="0" w:after="1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DDDDDD"/>
                <w:sz w:val="13"/>
                <w:szCs w:val="13"/>
              </w:rPr>
              <w:t xml:space="preserve">Internal Developer Platforms (IDP)</w:t>
            </w:r>
          </w:p>
          <w:tbl>
            <w:tblPr>
              <w:tblW w:type="dxa" w:w="1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51"/>
              <w:gridCol w:w="69"/>
              <w:gridCol w:w="240"/>
            </w:tblGrid>
            <w:tr>
              <w:tc>
                <w:tcPr>
                  <w:tcW w:type="dxa" w:w="165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0F0" w:val="clear"/>
                  <w:tcMar>
                    <w:top w:type="dxa" w:w="35"/>
                    <w:left w:type="dxa" w:w="0"/>
                    <w:bottom w:type="dxa" w:w="35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8"/>
                      <w:szCs w:val="8"/>
                    </w:rPr>
                    <w:t xml:space="preserve"/>
                  </w:r>
                </w:p>
              </w:tc>
              <w:tc>
                <w:tcPr>
                  <w:tcW w:type="dxa" w:w="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4A4A" w:val="clear"/>
                  <w:tcMar>
                    <w:top w:type="dxa" w:w="35"/>
                    <w:left w:type="dxa" w:w="0"/>
                    <w:bottom w:type="dxa" w:w="35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8"/>
                      <w:szCs w:val="8"/>
                    </w:rPr>
                    <w:t xml:space="preserve"/>
                  </w:r>
                </w:p>
              </w:tc>
              <w:tc>
                <w:tcPr>
                  <w:tcW w:type="dxa" w:w="2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Tahoma" w:cs="Tahoma" w:eastAsia="Tahoma" w:hAnsi="Tahoma"/>
                      <w:b/>
                      <w:bCs/>
                      <w:i w:val="false"/>
                      <w:iCs w:val="false"/>
                      <w:smallCaps w:val="false"/>
                      <w:color w:val="FFFFFF"/>
                      <w:sz w:val="12"/>
                      <w:szCs w:val="12"/>
                    </w:rPr>
                    <w:t xml:space="preserve">96%</w:t>
                  </w:r>
                </w:p>
              </w:tc>
            </w:tr>
          </w:tbl>
          <w:p>
            <w:pPr>
              <w:spacing w:before="16" w:after="0"/>
            </w:pPr>
          </w:p>
          <w:p>
            <w:pPr>
              <w:spacing w:before="0" w:after="1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DDDDDD"/>
                <w:sz w:val="13"/>
                <w:szCs w:val="13"/>
              </w:rPr>
              <w:t xml:space="preserve">SRE &amp; Chaos Engineering</w:t>
            </w:r>
          </w:p>
          <w:tbl>
            <w:tblPr>
              <w:tblW w:type="dxa" w:w="1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82"/>
              <w:gridCol w:w="138"/>
              <w:gridCol w:w="240"/>
            </w:tblGrid>
            <w:tr>
              <w:tc>
                <w:tcPr>
                  <w:tcW w:type="dxa" w:w="158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0F0" w:val="clear"/>
                  <w:tcMar>
                    <w:top w:type="dxa" w:w="35"/>
                    <w:left w:type="dxa" w:w="0"/>
                    <w:bottom w:type="dxa" w:w="35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8"/>
                      <w:szCs w:val="8"/>
                    </w:rPr>
                    <w:t xml:space="preserve"/>
                  </w:r>
                </w:p>
              </w:tc>
              <w:tc>
                <w:tcPr>
                  <w:tcW w:type="dxa" w:w="1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4A4A" w:val="clear"/>
                  <w:tcMar>
                    <w:top w:type="dxa" w:w="35"/>
                    <w:left w:type="dxa" w:w="0"/>
                    <w:bottom w:type="dxa" w:w="35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8"/>
                      <w:szCs w:val="8"/>
                    </w:rPr>
                    <w:t xml:space="preserve"/>
                  </w:r>
                </w:p>
              </w:tc>
              <w:tc>
                <w:tcPr>
                  <w:tcW w:type="dxa" w:w="2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Tahoma" w:cs="Tahoma" w:eastAsia="Tahoma" w:hAnsi="Tahoma"/>
                      <w:b/>
                      <w:bCs/>
                      <w:i w:val="false"/>
                      <w:iCs w:val="false"/>
                      <w:smallCaps w:val="false"/>
                      <w:color w:val="FFFFFF"/>
                      <w:sz w:val="12"/>
                      <w:szCs w:val="12"/>
                    </w:rPr>
                    <w:t xml:space="preserve">92%</w:t>
                  </w:r>
                </w:p>
              </w:tc>
            </w:tr>
          </w:tbl>
          <w:p>
            <w:pPr>
              <w:spacing w:before="16" w:after="0"/>
            </w:pPr>
          </w:p>
          <w:p>
            <w:pPr>
              <w:spacing w:before="0" w:after="1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DDDDDD"/>
                <w:sz w:val="13"/>
                <w:szCs w:val="13"/>
              </w:rPr>
              <w:t xml:space="preserve">FinOps &amp; Cloud Cost Optimization</w:t>
            </w:r>
          </w:p>
          <w:tbl>
            <w:tblPr>
              <w:tblW w:type="dxa" w:w="1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14"/>
              <w:gridCol w:w="206"/>
              <w:gridCol w:w="240"/>
            </w:tblGrid>
            <w:tr>
              <w:tc>
                <w:tcPr>
                  <w:tcW w:type="dxa" w:w="151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0F0" w:val="clear"/>
                  <w:tcMar>
                    <w:top w:type="dxa" w:w="35"/>
                    <w:left w:type="dxa" w:w="0"/>
                    <w:bottom w:type="dxa" w:w="35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8"/>
                      <w:szCs w:val="8"/>
                    </w:rPr>
                    <w:t xml:space="preserve"/>
                  </w:r>
                </w:p>
              </w:tc>
              <w:tc>
                <w:tcPr>
                  <w:tcW w:type="dxa" w:w="2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4A4A" w:val="clear"/>
                  <w:tcMar>
                    <w:top w:type="dxa" w:w="35"/>
                    <w:left w:type="dxa" w:w="0"/>
                    <w:bottom w:type="dxa" w:w="35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8"/>
                      <w:szCs w:val="8"/>
                    </w:rPr>
                    <w:t xml:space="preserve"/>
                  </w:r>
                </w:p>
              </w:tc>
              <w:tc>
                <w:tcPr>
                  <w:tcW w:type="dxa" w:w="2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Tahoma" w:cs="Tahoma" w:eastAsia="Tahoma" w:hAnsi="Tahoma"/>
                      <w:b/>
                      <w:bCs/>
                      <w:i w:val="false"/>
                      <w:iCs w:val="false"/>
                      <w:smallCaps w:val="false"/>
                      <w:color w:val="FFFFFF"/>
                      <w:sz w:val="12"/>
                      <w:szCs w:val="12"/>
                    </w:rPr>
                    <w:t xml:space="preserve">88%</w:t>
                  </w:r>
                </w:p>
              </w:tc>
            </w:tr>
          </w:tbl>
          <w:p>
            <w:pPr>
              <w:spacing w:before="16" w:after="0"/>
            </w:pPr>
          </w:p>
          <w:p>
            <w:pPr>
              <w:spacing w:before="0" w:after="1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DDDDDD"/>
                <w:sz w:val="13"/>
                <w:szCs w:val="13"/>
              </w:rPr>
              <w:t xml:space="preserve">Go / Python / Bash Scripting</w:t>
            </w:r>
          </w:p>
          <w:tbl>
            <w:tblPr>
              <w:tblW w:type="dxa" w:w="1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31"/>
              <w:gridCol w:w="189"/>
              <w:gridCol w:w="240"/>
            </w:tblGrid>
            <w:tr>
              <w:tc>
                <w:tcPr>
                  <w:tcW w:type="dxa" w:w="153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0F0" w:val="clear"/>
                  <w:tcMar>
                    <w:top w:type="dxa" w:w="35"/>
                    <w:left w:type="dxa" w:w="0"/>
                    <w:bottom w:type="dxa" w:w="35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8"/>
                      <w:szCs w:val="8"/>
                    </w:rPr>
                    <w:t xml:space="preserve"/>
                  </w:r>
                </w:p>
              </w:tc>
              <w:tc>
                <w:tcPr>
                  <w:tcW w:type="dxa" w:w="18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4A4A" w:val="clear"/>
                  <w:tcMar>
                    <w:top w:type="dxa" w:w="35"/>
                    <w:left w:type="dxa" w:w="0"/>
                    <w:bottom w:type="dxa" w:w="35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8"/>
                      <w:szCs w:val="8"/>
                    </w:rPr>
                    <w:t xml:space="preserve"/>
                  </w:r>
                </w:p>
              </w:tc>
              <w:tc>
                <w:tcPr>
                  <w:tcW w:type="dxa" w:w="2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Tahoma" w:cs="Tahoma" w:eastAsia="Tahoma" w:hAnsi="Tahoma"/>
                      <w:b/>
                      <w:bCs/>
                      <w:i w:val="false"/>
                      <w:iCs w:val="false"/>
                      <w:smallCaps w:val="false"/>
                      <w:color w:val="FFFFFF"/>
                      <w:sz w:val="12"/>
                      <w:szCs w:val="12"/>
                    </w:rPr>
                    <w:t xml:space="preserve">89%</w:t>
                  </w:r>
                </w:p>
              </w:tc>
            </w:tr>
          </w:tbl>
          <w:p>
            <w:pPr>
              <w:spacing w:before="16" w:after="0"/>
            </w:pPr>
          </w:p>
          <w:p>
            <w:pPr>
              <w:spacing w:before="0" w:after="1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DDDDDD"/>
                <w:sz w:val="13"/>
                <w:szCs w:val="13"/>
              </w:rPr>
              <w:t xml:space="preserve">Engineering Management &amp; Leadership</w:t>
            </w:r>
          </w:p>
          <w:tbl>
            <w:tblPr>
              <w:tblW w:type="dxa" w:w="1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17"/>
              <w:gridCol w:w="103"/>
              <w:gridCol w:w="240"/>
            </w:tblGrid>
            <w:tr>
              <w:tc>
                <w:tcPr>
                  <w:tcW w:type="dxa" w:w="16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0F0" w:val="clear"/>
                  <w:tcMar>
                    <w:top w:type="dxa" w:w="35"/>
                    <w:left w:type="dxa" w:w="0"/>
                    <w:bottom w:type="dxa" w:w="35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8"/>
                      <w:szCs w:val="8"/>
                    </w:rPr>
                    <w:t xml:space="preserve"/>
                  </w:r>
                </w:p>
              </w:tc>
              <w:tc>
                <w:tcPr>
                  <w:tcW w:type="dxa" w:w="1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4A4A" w:val="clear"/>
                  <w:tcMar>
                    <w:top w:type="dxa" w:w="35"/>
                    <w:left w:type="dxa" w:w="0"/>
                    <w:bottom w:type="dxa" w:w="35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8"/>
                      <w:szCs w:val="8"/>
                    </w:rPr>
                    <w:t xml:space="preserve"/>
                  </w:r>
                </w:p>
              </w:tc>
              <w:tc>
                <w:tcPr>
                  <w:tcW w:type="dxa" w:w="2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Tahoma" w:cs="Tahoma" w:eastAsia="Tahoma" w:hAnsi="Tahoma"/>
                      <w:b/>
                      <w:bCs/>
                      <w:i w:val="false"/>
                      <w:iCs w:val="false"/>
                      <w:smallCaps w:val="false"/>
                      <w:color w:val="FFFFFF"/>
                      <w:sz w:val="12"/>
                      <w:szCs w:val="12"/>
                    </w:rPr>
                    <w:t xml:space="preserve">94%</w:t>
                  </w:r>
                </w:p>
              </w:tc>
            </w:tr>
          </w:tbl>
          <w:p>
            <w:pPr>
              <w:spacing w:before="16" w:after="0"/>
            </w:pPr>
          </w:p>
          <w:p>
            <w:pPr>
              <w:pBdr>
                <w:bottom w:val="single" w:color="555555" w:sz="1" w:space="4"/>
              </w:pBd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A1A"/>
                <w:sz w:val="8"/>
                <w:szCs w:val="8"/>
              </w:rPr>
              <w:t xml:space="preserve"/>
            </w:r>
          </w:p>
          <w:p>
            <w:pPr>
              <w:spacing w:before="50" w:after="0"/>
            </w:pPr>
          </w:p>
          <w:p>
            <w:pPr>
              <w:spacing w:before="0" w:after="4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mallCaps w:val="false"/>
                <w:color w:val="FFFFFF"/>
                <w:sz w:val="18"/>
                <w:szCs w:val="18"/>
              </w:rPr>
              <w:t xml:space="preserve">Education</w:t>
            </w:r>
          </w:p>
          <w:p>
            <w:pPr>
              <w:spacing w:before="0" w:after="16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mallCaps w:val="false"/>
                <w:color w:val="FFFFFF"/>
                <w:sz w:val="14"/>
                <w:szCs w:val="14"/>
              </w:rPr>
              <w:t xml:space="preserve">M.S. Computer Engineering</w:t>
            </w:r>
          </w:p>
          <w:p>
            <w:pPr>
              <w:spacing w:before="0" w:after="12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/>
                <w:iCs/>
                <w:smallCaps w:val="false"/>
                <w:color w:val="CCCCCC"/>
                <w:sz w:val="13"/>
                <w:szCs w:val="13"/>
              </w:rPr>
              <w:t xml:space="preserve">Boston University</w:t>
            </w:r>
          </w:p>
          <w:p>
            <w:pPr>
              <w:spacing w:before="0" w:after="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AAAAAA"/>
                <w:sz w:val="12"/>
                <w:szCs w:val="12"/>
              </w:rPr>
              <w:t xml:space="preserve">2012</w:t>
            </w:r>
          </w:p>
          <w:p>
            <w:pPr>
              <w:pBdr>
                <w:bottom w:val="single" w:color="555555" w:sz="1" w:space="4"/>
              </w:pBd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A1A"/>
                <w:sz w:val="8"/>
                <w:szCs w:val="8"/>
              </w:rPr>
              <w:t xml:space="preserve"/>
            </w:r>
          </w:p>
          <w:p>
            <w:pPr>
              <w:spacing w:before="50" w:after="0"/>
            </w:pPr>
          </w:p>
          <w:p>
            <w:pPr>
              <w:spacing w:before="0" w:after="4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mallCaps w:val="false"/>
                <w:color w:val="FFFFFF"/>
                <w:sz w:val="18"/>
                <w:szCs w:val="18"/>
              </w:rPr>
              <w:t xml:space="preserve">Certifications</w:t>
            </w:r>
          </w:p>
          <w:p>
            <w:pPr>
              <w:spacing w:before="0" w:after="35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CCCCCC"/>
                <w:sz w:val="13"/>
                <w:szCs w:val="13"/>
              </w:rPr>
              <w:t xml:space="preserve">• Certified Kubernetes Administrator (CKA)</w:t>
            </w:r>
          </w:p>
          <w:p>
            <w:pPr>
              <w:spacing w:before="0" w:after="35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CCCCCC"/>
                <w:sz w:val="13"/>
                <w:szCs w:val="13"/>
              </w:rPr>
              <w:t xml:space="preserve">• Certified Kubernetes App Developer (CKAD)</w:t>
            </w:r>
          </w:p>
          <w:p>
            <w:pPr>
              <w:spacing w:before="0" w:after="35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CCCCCC"/>
                <w:sz w:val="13"/>
                <w:szCs w:val="13"/>
              </w:rPr>
              <w:t xml:space="preserve">• AWS DevOps Engineer – Professional</w:t>
            </w:r>
          </w:p>
          <w:p>
            <w:pPr>
              <w:spacing w:before="0" w:after="35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CCCCCC"/>
                <w:sz w:val="13"/>
                <w:szCs w:val="13"/>
              </w:rPr>
              <w:t xml:space="preserve">• Google SRE Practitioner</w:t>
            </w:r>
          </w:p>
          <w:p>
            <w:pPr>
              <w:pBdr>
                <w:bottom w:val="single" w:color="555555" w:sz="1" w:space="4"/>
              </w:pBd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A1A"/>
                <w:sz w:val="8"/>
                <w:szCs w:val="8"/>
              </w:rPr>
              <w:t xml:space="preserve"/>
            </w:r>
          </w:p>
          <w:p>
            <w:pPr>
              <w:spacing w:before="50" w:after="0"/>
            </w:pPr>
          </w:p>
          <w:p>
            <w:pPr>
              <w:spacing w:before="0" w:after="4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mallCaps w:val="false"/>
                <w:color w:val="FFFFFF"/>
                <w:sz w:val="18"/>
                <w:szCs w:val="18"/>
              </w:rPr>
              <w:t xml:space="preserve">Key Clients</w:t>
            </w:r>
          </w:p>
          <w:p>
            <w:pPr>
              <w:spacing w:before="0" w:after="2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DDDDDD"/>
                <w:sz w:val="13"/>
                <w:szCs w:val="13"/>
              </w:rPr>
              <w:t xml:space="preserve">▸ HubSpot</w:t>
            </w:r>
          </w:p>
          <w:p>
            <w:pPr>
              <w:spacing w:before="0" w:after="2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DDDDDD"/>
                <w:sz w:val="13"/>
                <w:szCs w:val="13"/>
              </w:rPr>
              <w:t xml:space="preserve">▸ Wayfair</w:t>
            </w:r>
          </w:p>
          <w:p>
            <w:pPr>
              <w:spacing w:before="0" w:after="2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DDDDDD"/>
                <w:sz w:val="13"/>
                <w:szCs w:val="13"/>
              </w:rPr>
              <w:t xml:space="preserve">▸ Akamai</w:t>
            </w:r>
          </w:p>
          <w:p>
            <w:pPr>
              <w:spacing w:before="0" w:after="2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DDDDDD"/>
                <w:sz w:val="13"/>
                <w:szCs w:val="13"/>
              </w:rPr>
              <w:t xml:space="preserve">▸ VMware</w:t>
            </w:r>
          </w:p>
          <w:p>
            <w:pPr>
              <w:spacing w:before="0" w:after="2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DDDDDD"/>
                <w:sz w:val="13"/>
                <w:szCs w:val="13"/>
              </w:rPr>
              <w:t xml:space="preserve">▸ Fidelity Investments</w:t>
            </w:r>
          </w:p>
          <w:p>
            <w:pPr>
              <w:spacing w:before="0" w:after="2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mallCaps w:val="false"/>
                <w:color w:val="DDDDDD"/>
                <w:sz w:val="13"/>
                <w:szCs w:val="13"/>
              </w:rPr>
              <w:t xml:space="preserve">▸ Toast, Inc.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2026-03-16T12:46:41.076Z</dcterms:created>
  <dcterms:modified xsi:type="dcterms:W3CDTF">2026-03-16T12:46:41.076Z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