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A4A00"/>
          <w:sz w:val="52"/>
          <w:szCs w:val="52"/>
        </w:rPr>
        <w:t xml:space="preserve">MAYA PATEL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Principal UX Designer &amp; Design Systems Lead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maya.patel@email.com  |  +1 503-555-0481  |  Portland, OR  |  portfolio.mayapatel.com  |  dribbble.com/mayapatel</w:t>
      </w:r>
    </w:p>
    <w:p>
      <w:pPr>
        <w:pBdr>
          <w:bottom w:val="single" w:color="BA4A00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4A00"/>
                <w:sz w:val="19"/>
                <w:szCs w:val="19"/>
              </w:rPr>
              <w:t xml:space="preserve">Human-centered product designer with 11 years creating intuitive digital experiences for enterprise SaaS, consumer apps, and emerging platforms. Known for bridging design with business strategy.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shd w:fill="BA4A0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11+</w:t>
            </w:r>
          </w:p>
        </w:tc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shd w:fill="BA4A0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60+</w:t>
            </w:r>
          </w:p>
        </w:tc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shd w:fill="BA4A0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40%</w:t>
            </w:r>
          </w:p>
        </w:tc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shd w:fill="BA4A00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UX/Product</w:t>
            </w:r>
          </w:p>
        </w:tc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Products Shipped</w:t>
            </w:r>
          </w:p>
        </w:tc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Avg Task-Time Reduction</w:t>
            </w:r>
          </w:p>
        </w:tc>
        <w:tc>
          <w:tcPr>
            <w:tcW w:type="dxa" w:w="2340"/>
            <w:tcBorders>
              <w:top w:val="single" w:color="BA4A00" w:sz="1"/>
              <w:left w:val="single" w:color="BA4A00" w:sz="1"/>
              <w:bottom w:val="single" w:color="BA4A00" w:sz="1"/>
              <w:right w:val="single" w:color="BA4A00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Design Awards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BA4A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DESIGN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Strategy &amp; Vision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Systems &amp; Tokens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Research &amp; Usability Testing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Interaction &amp; Motion Design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Figma / Sketch / Principle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 (WCAG 2.2 AA)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BA4A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Principal UX Designer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Arken Software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2021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Rebuilt enterprise analytics platform UI resulting in 40% reduction in task completion time (measured via FullStory).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Created company-wide design system (1,200+ components) adopted across 8 product teams; cut design-to-dev handoff time by 50%.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6-person UX team across research, interaction, and visual design disciplines.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Facilitated 30+ discovery sprints with enterprise clients; reduced scope-change requests by 35%.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Senior UX/UI Designer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PulseHealth App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2017 – 2021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Designed award-winning patient portal (Red Dot Design Award 2019) serving 500K+ users.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Conducted 200+ moderated usability tests; fed insights into iterative design cycles improving NPS by 28 points.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Collaborated with eng team to implement accessible UI meeting HIPAA and WCAG 2.1 AA standards.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UX Designer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Digital Craft Agency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2014 – 2017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Delivered UX for 15+ client projects across retail, finance, and logistics verticals.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Introduced journey mapping and service blueprint workshops that became agency-standard process.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BA4A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TOOLS &amp; SKILLS PROFICIENCY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45"/>
        <w:gridCol w:w="215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Figma / Prototyping &amp; Design Systems</w:t>
            </w:r>
          </w:p>
        </w:tc>
        <w:tc>
          <w:tcPr>
            <w:tcW w:type="dxa" w:w="6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</w:tcPr>
          <w:p/>
        </w:tc>
        <w:tc>
          <w:tcPr>
            <w:tcW w:type="dxa" w:w="2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Research &amp; Usability Testing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  <w:gridCol w:w="7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Interaction Design &amp; Motion</w:t>
            </w:r>
          </w:p>
        </w:tc>
        <w:tc>
          <w:tcPr>
            <w:tcW w:type="dxa" w:w="6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</w:tcPr>
          <w:p/>
        </w:tc>
        <w:tc>
          <w:tcPr>
            <w:tcW w:type="dxa" w:w="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1"/>
        <w:gridCol w:w="859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Strategy &amp; Roadmapping</w:t>
            </w:r>
          </w:p>
        </w:tc>
        <w:tc>
          <w:tcPr>
            <w:tcW w:type="dxa" w:w="6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</w:tcPr>
          <w:p/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71"/>
        <w:gridCol w:w="1289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HTML/CSS / Design-Dev Collaboration</w:t>
            </w:r>
          </w:p>
        </w:tc>
        <w:tc>
          <w:tcPr>
            <w:tcW w:type="dxa" w:w="5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</w:tcPr>
          <w:p/>
        </w:tc>
        <w:tc>
          <w:tcPr>
            <w:tcW w:type="dxa" w:w="1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BA4A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A4A00"/>
          <w:sz w:val="22"/>
          <w:szCs w:val="22"/>
        </w:rPr>
        <w:t xml:space="preserve">EDUCATION &amp; RECOGNITION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M.F.A. Interaction Design: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RISD, 2014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B.A. Visual Communication: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UCLA, 2012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Awards: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Red Dot Design Award 2019  •  Core77 Honorable Mention 2021  •  Webby Award 2022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2026-03-14T10:43:47.484Z</dcterms:created>
  <dcterms:modified xsi:type="dcterms:W3CDTF">2026-03-14T10:43:47.484Z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