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300"/>
              <w:left w:type="dxa" w:w="360"/>
              <w:bottom w:type="dxa" w:w="300"/>
              <w:right w:type="dxa" w:w="3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Aisha Patel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3D9FF"/>
                <w:sz w:val="26"/>
                <w:szCs w:val="26"/>
              </w:rPr>
              <w:t xml:space="preserve">Product Manager — AI &amp; Data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E5FF"/>
                <w:sz w:val="19"/>
                <w:szCs w:val="19"/>
              </w:rPr>
              <w:t xml:space="preserve">aisha.patel@prodmail.com  |  +1 (650) 321-7700  |  Palo Alto, CA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20"/>
        <w:gridCol w:w="20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bottom w:val="single" w:color="E65100" w:sz="4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4"/>
                <w:szCs w:val="24"/>
              </w:rPr>
              <w:t xml:space="preserve">Professional Summary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 leader with 10 years shipping AI-powered products at scale. Managed P&amp;Ls up to $120M. Built and led cross-functional teams of 30+ spanning engineering, design, and data science.</w:t>
            </w:r>
          </w:p>
          <w:p>
            <w:pPr>
              <w:pBdr>
                <w:bottom w:val="single" w:color="E65100" w:sz="4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4"/>
                <w:szCs w:val="24"/>
              </w:rPr>
              <w:t xml:space="preserve">Professional Experience</w:t>
            </w:r>
          </w:p>
          <w:p>
            <w:pPr>
              <w:spacing w:before="6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2022–Present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Salesforce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E65100"/>
                      <w:sz w:val="19"/>
                      <w:szCs w:val="19"/>
                    </w:rPr>
                    <w:t xml:space="preserve">Director of Product — Einstein AI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Defined roadmap for Salesforce Einstein AI suite used by 150K+ organizations. Grew ARR from $45M to $120M in 18 months.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2019–2022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LinkedIn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E65100"/>
                      <w:sz w:val="19"/>
                      <w:szCs w:val="19"/>
                    </w:rPr>
                    <w:t xml:space="preserve">Sr. Product Manager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Owned LinkedIn feed ranking algorithm product. Shipped 25+ experiments improving engagement. Grew DAU by 35%.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2016–2019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Intuit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E65100"/>
                      <w:sz w:val="19"/>
                      <w:szCs w:val="19"/>
                    </w:rPr>
                    <w:t xml:space="preserve">Product Manager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Led QuickBooks AI assistant product from 0 to 2M users. Reduced customer support tickets by 30% via self-serve AI.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5600"/>
            </w:tblGrid>
            <w:tr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2013–2016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McKinsey Digital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E65100"/>
                      <w:sz w:val="19"/>
                      <w:szCs w:val="19"/>
                    </w:rPr>
                    <w:t xml:space="preserve">Business Analyst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Delivered digital transformation strategy for retail and telecom clients. Led 5 agile squads across 3 time zones.</w:t>
                  </w:r>
                </w:p>
              </w:tc>
            </w:tr>
          </w:tbl>
          <w:p>
            <w:pPr>
              <w:spacing w:before="80" w:after="0"/>
            </w:pPr>
          </w:p>
          <w:p>
            <w:pPr>
              <w:spacing w:before="80" w:after="0"/>
            </w:pPr>
          </w:p>
          <w:p>
            <w:pPr>
              <w:pBdr>
                <w:bottom w:val="single" w:color="E65100" w:sz="4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4"/>
                <w:szCs w:val="24"/>
              </w:rPr>
              <w:t xml:space="preserve">Key Clients &amp; Engagements</w:t>
            </w:r>
          </w:p>
          <w:tbl>
            <w:tblPr>
              <w:tblW w:type="dxa" w:w="7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73"/>
              <w:gridCol w:w="1173"/>
              <w:gridCol w:w="1173"/>
              <w:gridCol w:w="1173"/>
              <w:gridCol w:w="1173"/>
              <w:gridCol w:w="1173"/>
            </w:tblGrid>
            <w:tr>
              <w:tc>
                <w:tcPr>
                  <w:tcBorders>
                    <w:top w:val="single" w:color="E65100" w:sz="1"/>
                    <w:left w:val="single" w:color="E65100" w:sz="1"/>
                    <w:bottom w:val="single" w:color="E65100" w:sz="1"/>
                    <w:right w:val="single" w:color="E65100" w:sz="1"/>
                  </w:tcBorders>
                  <w:shd w:fill="FFF3E0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7"/>
                      <w:szCs w:val="17"/>
                    </w:rPr>
                    <w:t xml:space="preserve">Salesforce</w:t>
                  </w:r>
                </w:p>
              </w:tc>
              <w:tc>
                <w:tcPr>
                  <w:tcBorders>
                    <w:top w:val="single" w:color="E65100" w:sz="1"/>
                    <w:left w:val="single" w:color="E65100" w:sz="1"/>
                    <w:bottom w:val="single" w:color="E65100" w:sz="1"/>
                    <w:right w:val="single" w:color="E65100" w:sz="1"/>
                  </w:tcBorders>
                  <w:shd w:fill="FFF3E0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7"/>
                      <w:szCs w:val="17"/>
                    </w:rPr>
                    <w:t xml:space="preserve">LinkedIn</w:t>
                  </w:r>
                </w:p>
              </w:tc>
              <w:tc>
                <w:tcPr>
                  <w:tcBorders>
                    <w:top w:val="single" w:color="E65100" w:sz="1"/>
                    <w:left w:val="single" w:color="E65100" w:sz="1"/>
                    <w:bottom w:val="single" w:color="E65100" w:sz="1"/>
                    <w:right w:val="single" w:color="E65100" w:sz="1"/>
                  </w:tcBorders>
                  <w:shd w:fill="FFF3E0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7"/>
                      <w:szCs w:val="17"/>
                    </w:rPr>
                    <w:t xml:space="preserve">Intuit</w:t>
                  </w:r>
                </w:p>
              </w:tc>
              <w:tc>
                <w:tcPr>
                  <w:tcBorders>
                    <w:top w:val="single" w:color="E65100" w:sz="1"/>
                    <w:left w:val="single" w:color="E65100" w:sz="1"/>
                    <w:bottom w:val="single" w:color="E65100" w:sz="1"/>
                    <w:right w:val="single" w:color="E65100" w:sz="1"/>
                  </w:tcBorders>
                  <w:shd w:fill="FFF3E0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7"/>
                      <w:szCs w:val="17"/>
                    </w:rPr>
                    <w:t xml:space="preserve">McKinsey</w:t>
                  </w:r>
                </w:p>
              </w:tc>
              <w:tc>
                <w:tcPr>
                  <w:tcBorders>
                    <w:top w:val="single" w:color="E65100" w:sz="1"/>
                    <w:left w:val="single" w:color="E65100" w:sz="1"/>
                    <w:bottom w:val="single" w:color="E65100" w:sz="1"/>
                    <w:right w:val="single" w:color="E65100" w:sz="1"/>
                  </w:tcBorders>
                  <w:shd w:fill="FFF3E0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7"/>
                      <w:szCs w:val="17"/>
                    </w:rPr>
                    <w:t xml:space="preserve">Toyota</w:t>
                  </w:r>
                </w:p>
              </w:tc>
              <w:tc>
                <w:tcPr>
                  <w:tcBorders>
                    <w:top w:val="single" w:color="E65100" w:sz="1"/>
                    <w:left w:val="single" w:color="E65100" w:sz="1"/>
                    <w:bottom w:val="single" w:color="E65100" w:sz="1"/>
                    <w:right w:val="single" w:color="E65100" w:sz="1"/>
                  </w:tcBorders>
                  <w:shd w:fill="FFF3E0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7"/>
                      <w:szCs w:val="17"/>
                    </w:rPr>
                    <w:t xml:space="preserve">Comcast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bottom w:val="single" w:color="E65100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Skill Proficiency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Product Strategy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46"/>
              <w:gridCol w:w="54"/>
              <w:gridCol w:w="380"/>
            </w:tblGrid>
            <w:tr>
              <w:tc>
                <w:tcPr>
                  <w:tcW w:type="dxa" w:w="17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6"/>
                      <w:szCs w:val="16"/>
                    </w:rPr>
                    <w:t xml:space="preserve">97%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AI/ML Products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6"/>
              <w:gridCol w:w="144"/>
              <w:gridCol w:w="380"/>
            </w:tblGrid>
            <w:tr>
              <w:tc>
                <w:tcPr>
                  <w:tcW w:type="dxa" w:w="16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6"/>
                      <w:szCs w:val="16"/>
                    </w:rPr>
                    <w:t xml:space="preserve">92%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 Analysis / SQL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6"/>
              <w:gridCol w:w="234"/>
              <w:gridCol w:w="380"/>
            </w:tblGrid>
            <w:tr>
              <w:tc>
                <w:tcPr>
                  <w:tcW w:type="dxa" w:w="15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2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6"/>
                      <w:szCs w:val="16"/>
                    </w:rPr>
                    <w:t xml:space="preserve">87%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A/B Testing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4"/>
              <w:gridCol w:w="126"/>
              <w:gridCol w:w="380"/>
            </w:tblGrid>
            <w:tr>
              <w:tc>
                <w:tcPr>
                  <w:tcW w:type="dxa" w:w="16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6"/>
                      <w:szCs w:val="16"/>
                    </w:rPr>
                    <w:t xml:space="preserve">93%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Roadmap &amp; Prioritization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10"/>
              <w:gridCol w:w="90"/>
              <w:gridCol w:w="380"/>
            </w:tblGrid>
            <w:tr>
              <w:tc>
                <w:tcPr>
                  <w:tcW w:type="dxa" w:w="17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6"/>
                      <w:szCs w:val="16"/>
                    </w:rPr>
                    <w:t xml:space="preserve">95%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Stakeholder Mgmt</w:t>
            </w:r>
          </w:p>
          <w:tbl>
            <w:tblPr>
              <w:tblW w:type="dxa" w:w="1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38"/>
              <w:gridCol w:w="162"/>
              <w:gridCol w:w="380"/>
            </w:tblGrid>
            <w:tr>
              <w:tc>
                <w:tcPr>
                  <w:tcW w:type="dxa" w:w="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5100"/>
                      <w:sz w:val="16"/>
                      <w:szCs w:val="16"/>
                    </w:rPr>
                    <w:t xml:space="preserve">91%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100" w:after="0"/>
            </w:pPr>
          </w:p>
          <w:p>
            <w:pPr>
              <w:pBdr>
                <w:bottom w:val="single" w:color="E65100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Certifications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✓  PMP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✓  Pragmatic Marketing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✓  Google Analytics Certified</w:t>
            </w:r>
          </w:p>
          <w:p>
            <w:pPr>
              <w:spacing w:before="80" w:after="0"/>
            </w:pPr>
          </w:p>
          <w:p>
            <w:pPr>
              <w:pBdr>
                <w:bottom w:val="single" w:color="E65100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Education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MBA — Wharton School, University of Pennsylvania, 2013</w:t>
            </w:r>
          </w:p>
          <w:p>
            <w:pPr>
              <w:spacing w:before="80" w:after="0"/>
            </w:pPr>
          </w:p>
          <w:p>
            <w:pPr>
              <w:pBdr>
                <w:bottom w:val="single" w:color="E65100" w:sz="3" w:space="4"/>
              </w:pBd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LinkedIn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linkedin.com/in/aishapatel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2026-03-16T12:37:47.706Z</dcterms:created>
  <dcterms:modified xsi:type="dcterms:W3CDTF">2026-03-16T12:37:47.706Z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