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VICTOR OSEI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Chief Information Security Officer (CISO) | Enterprise Cyber Risk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victor.osei@email.com  |  +1 703-555-0677  |  Washington DC  |  linkedin.com/in/victorosei-ciso</w:t>
      </w:r>
    </w:p>
    <w:p>
      <w:pPr>
        <w:pBdr>
          <w:bottom w:val="single" w:color="1A237E" w:sz="8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237E"/>
                <w:sz w:val="19"/>
                <w:szCs w:val="19"/>
              </w:rPr>
              <w:t xml:space="preserve">Enterprise security executive with 15 years building resilient security programs, responding to advanced persistent threats, and achieving compliance across financial services, government, and healthcare sectors.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15+</w:t>
            </w:r>
          </w:p>
        </w:tc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</w:t>
            </w:r>
          </w:p>
        </w:tc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SOC2/ISO</w:t>
            </w:r>
          </w:p>
        </w:tc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</w:tr>
      <w:tr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Years in Cybersecurity</w:t>
            </w:r>
          </w:p>
        </w:tc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Major Breaches Under Watch</w:t>
            </w:r>
          </w:p>
        </w:tc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Certifications Led</w:t>
            </w:r>
          </w:p>
        </w:tc>
        <w:tc>
          <w:tcPr>
            <w:tcW w:type="dxa" w:w="234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tcMar>
              <w:top w:type="dxa" w:w="2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Security Orgs Built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SECURITY DOMAINS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Zero Trust Architecture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Threat Detection &amp; SOC Operations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GRC &amp; Risk Frameworks (NIST, ISO 27001)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Security (CSPM/CWPP)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Incident Response &amp; Forensics</w:t>
            </w:r>
          </w:p>
          <w:p>
            <w:pPr>
              <w:spacing w:before="20" w:after="20"/>
              <w:ind w:left="400" w:hanging="28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◆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 Awareness &amp; Culture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PROFESSIONAL EXPERIENCE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CISO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NovaStar Financial Group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2018 – Present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Designed and implemented Zero Trust architecture across 6,000-seat enterprise, reducing lateral movement attack surface by 80%.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Stood up 24/7 SOC with SIEM (Splunk), SOAR automation, and threat intelligence integration; MTTD reduced from 72hrs to 4hrs.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Led organization through FFIEC examination, FedRAMP Moderate authorization, and ISO 27001 certification.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Managed $18M security budget; restructured vendor portfolio saving $3.2M without reducing capability.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VP Information Security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Meridian Government Solutions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2013 – 2018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Achieved ATO (Authority to Operate) for 3 federal cloud environments under NIST 800-53 High baseline.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Responded to 2 nation-state APT campaigns; led forensic investigation and remediation with CISA coordination.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Built security engineering team of 22 professionals; established security-as-code practices in CI/CD pipeline.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Senior Security Analyst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Deloitte Cyber Risk Services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•  2010 – 2013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Delivered penetration testing, red team engagements, and risk assessments for 20+ Fortune 500 clients.</w:t>
      </w:r>
    </w:p>
    <w:p>
      <w:pPr>
        <w:spacing w:before="20" w:after="20"/>
        <w:ind w:left="400" w:hanging="28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◆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Authored NIST CSF gap assessments and remediation roadmaps across financial services clients.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TECHNICAL SECURITY SKILLS</w:t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2"/>
        <w:gridCol w:w="358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SOC / SIEM / Incident Response</w:t>
            </w:r>
          </w:p>
        </w:tc>
        <w:tc>
          <w:tcPr>
            <w:tcW w:type="dxa" w:w="68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</w:tcPr>
          <w:p/>
        </w:tc>
        <w:tc>
          <w:tcPr>
            <w:tcW w:type="dxa" w:w="3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87"/>
        <w:gridCol w:w="573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 Security (AWS/Azure)</w:t>
            </w:r>
          </w:p>
        </w:tc>
        <w:tc>
          <w:tcPr>
            <w:tcW w:type="dxa" w:w="65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</w:tcPr>
          <w:p/>
        </w:tc>
        <w:tc>
          <w:tcPr>
            <w:tcW w:type="dxa" w:w="5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4"/>
        <w:gridCol w:w="28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GRC &amp; Compliance Frameworks</w:t>
            </w:r>
          </w:p>
        </w:tc>
        <w:tc>
          <w:tcPr>
            <w:tcW w:type="dxa" w:w="68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</w:tcPr>
          <w:p/>
        </w:tc>
        <w:tc>
          <w:tcPr>
            <w:tcW w:type="dxa" w:w="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16"/>
        <w:gridCol w:w="644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Trust &amp; IAM Architecture</w:t>
            </w:r>
          </w:p>
        </w:tc>
        <w:tc>
          <w:tcPr>
            <w:tcW w:type="dxa" w:w="65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</w:tcPr>
          <w:p/>
        </w:tc>
        <w:tc>
          <w:tcPr>
            <w:tcW w:type="dxa" w:w="6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29"/>
        <w:gridCol w:w="931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Penetration Testing &amp; Red Team</w:t>
            </w:r>
          </w:p>
        </w:tc>
        <w:tc>
          <w:tcPr>
            <w:tcW w:type="dxa" w:w="62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</w:tcPr>
          <w:p/>
        </w:tc>
        <w:tc>
          <w:tcPr>
            <w:tcW w:type="dxa" w:w="9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</w:tcPr>
          <w:p/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EDUCATION &amp; CERTIFICATIONS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M.S. Information Security: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Carnegie Mellon University, 2010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B.S. Computer Engineering: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Howard University, 2008</w:t>
      </w:r>
    </w:p>
    <w:p>
      <w:pPr>
        <w:spacing w:before="30" w:after="3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Certifications: 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CISSP  •  CISM  •  CCSP  •  CEH  •  AWS Security Specialty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2026-03-14T10:43:47.597Z</dcterms:created>
  <dcterms:modified xsi:type="dcterms:W3CDTF">2026-03-14T10:43:47.597Z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