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52"/>
                <w:szCs w:val="52"/>
              </w:rPr>
              <w:t xml:space="preserve">Natasha Ivanova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4"/>
                <w:szCs w:val="24"/>
              </w:rPr>
              <w:t xml:space="preserve">Platform Engineering Manager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natasha.ivanova@plateng.com  |  +1 (617) 443-7788  |  Boston, MA</w:t>
            </w:r>
          </w:p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0E4F"/>
          <w:sz w:val="24"/>
          <w:szCs w:val="24"/>
        </w:rPr>
        <w:t xml:space="preserve">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Engineering leader with 11 years building high-performing platform teams. Scaled engineering orgs from 8 to 80+ engineers. Deep expertise in internal developer platforms, SRE practices, and FinOps.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0E4F"/>
          <w:sz w:val="24"/>
          <w:szCs w:val="24"/>
        </w:rPr>
        <w:t xml:space="preserve">Skills &amp; Proficiency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Kubernetes / Helm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100%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Platform Engineering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100%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SRE / Chaos Eng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FinOps / Cost Opt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 / Python / Bash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90%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Engineering Leadership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●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DDDDD"/>
                      <w:sz w:val="16"/>
                      <w:szCs w:val="16"/>
                    </w:rPr>
                    <w:t xml:space="preserve">●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90%</w:t>
            </w:r>
          </w:p>
        </w:tc>
      </w:tr>
    </w:tbl>
    <w:p>
      <w:pPr>
        <w:spacing w:before="10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0E4F"/>
          <w:sz w:val="24"/>
          <w:szCs w:val="24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2021–Present</w:t>
            </w:r>
          </w:p>
        </w:tc>
        <w:tc>
          <w:tcPr>
            <w:tcW w:type="dxa" w:w="160"/>
            <w:tcBorders>
              <w:top w:val="none" w:color="FFFFFF" w:sz="0"/>
              <w:left w:val="single" w:color="880E4F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HubSpot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Engineering Manager — Platform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Built and scaled internal developer platform serving 1,200+ engineers. Reduced deployment time from 2 hours to 8 minutes. Built team from 6 to 28 engineers.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2018–2021</w:t>
            </w:r>
          </w:p>
        </w:tc>
        <w:tc>
          <w:tcPr>
            <w:tcW w:type="dxa" w:w="160"/>
            <w:tcBorders>
              <w:top w:val="none" w:color="FFFFFF" w:sz="0"/>
              <w:left w:val="single" w:color="880E4F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Wayfair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Sr. Staff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Designed Kubernetes-based microservices platform processing 3M+ orders/day. Implemented FinOps practices saving $8M annually in cloud spend.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2015–2018</w:t>
            </w:r>
          </w:p>
        </w:tc>
        <w:tc>
          <w:tcPr>
            <w:tcW w:type="dxa" w:w="160"/>
            <w:tcBorders>
              <w:top w:val="none" w:color="FFFFFF" w:sz="0"/>
              <w:left w:val="single" w:color="880E4F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Akamai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Site Reliability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Maintained 99.999% uptime for CDN serving 2.5T+ requests daily. Built chaos engineering framework and automated runbook system.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7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2012–2015</w:t>
            </w:r>
          </w:p>
        </w:tc>
        <w:tc>
          <w:tcPr>
            <w:tcW w:type="dxa" w:w="160"/>
            <w:tcBorders>
              <w:top w:val="none" w:color="FFFFFF" w:sz="0"/>
              <w:left w:val="single" w:color="880E4F" w:sz="8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VMware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·  Systems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Delivered virtualization and private cloud solutions for enterprise clients. Managed vSphere/NSX environments of 10,000+ VMs.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Clients</w:t>
            </w:r>
          </w:p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780"/>
              <w:gridCol w:w="780"/>
              <w:gridCol w:w="780"/>
              <w:gridCol w:w="780"/>
              <w:gridCol w:w="780"/>
            </w:tblGrid>
            <w:tr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HubSpot</w:t>
                  </w:r>
                </w:p>
              </w:tc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Wayfair</w:t>
                  </w:r>
                </w:p>
              </w:tc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Akamai</w:t>
                  </w:r>
                </w:p>
              </w:tc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VMware</w:t>
                  </w:r>
                </w:p>
              </w:tc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Fidelity</w:t>
                  </w:r>
                </w:p>
              </w:tc>
              <w:tc>
                <w:tcPr>
                  <w:tcBorders>
                    <w:top w:val="single" w:color="880E4F" w:sz="1"/>
                    <w:left w:val="single" w:color="880E4F" w:sz="1"/>
                    <w:bottom w:val="single" w:color="880E4F" w:sz="1"/>
                    <w:right w:val="single" w:color="880E4F" w:sz="1"/>
                  </w:tcBorders>
                  <w:shd w:fill="FCE4EC" w:val="clear"/>
                  <w:tcMar>
                    <w:top w:type="dxa" w:w="60"/>
                    <w:left w:type="dxa" w:w="20"/>
                    <w:bottom w:type="dxa" w:w="60"/>
                    <w:right w:type="dxa" w:w="2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80E4F"/>
                      <w:sz w:val="16"/>
                      <w:szCs w:val="16"/>
                    </w:rPr>
                    <w:t xml:space="preserve">Toast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Education &amp; Certs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M.S. Computer Engineering — Boston University, 2012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CKA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CKAD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AWS DevOps Pro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✔ Google SRE Certified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2026-03-16T12:37:47.822Z</dcterms:created>
  <dcterms:modified xsi:type="dcterms:W3CDTF">2026-03-16T12:37:47.822Z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