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6"/>
          <w:szCs w:val="36"/>
        </w:rPr>
        <w:t xml:space="preserve">Nageswara Rao Bandaru</w:t>
      </w:r>
    </w:p>
    <w:p>
      <w:pPr>
        <w:spacing w:after="160"/>
        <w:jc w:val="center"/>
      </w:pPr>
      <w:r>
        <w:rPr>
          <w:rFonts w:ascii="Calibri" w:cs="Calibri" w:eastAsia="Calibri" w:hAnsi="Calibri"/>
          <w:b w:val="false"/>
          <w:bCs w:val="false"/>
          <w:color w:val="000000"/>
          <w:sz w:val="19"/>
          <w:szCs w:val="19"/>
        </w:rPr>
        <w:t xml:space="preserve">linkedin.com/in/nageswaraobbandaru  |  +1 (612)-887-5543  |  nageswararao.bandaru.bi@gmail.com</w:t>
      </w:r>
    </w:p>
    <w:p>
      <w:pPr>
        <w:pBdr>
          <w:bottom w:val="single" w:color="000000" w:sz="8" w:space="1"/>
        </w:pBdr>
        <w:spacing w:after="80" w:before="240"/>
      </w:pPr>
      <w:r>
        <w:rPr>
          <w:rFonts w:ascii="Calibri" w:cs="Calibri" w:eastAsia="Calibri" w:hAnsi="Calibri"/>
          <w:b/>
          <w:bCs/>
          <w:color w:val="000000"/>
          <w:sz w:val="22"/>
          <w:szCs w:val="22"/>
        </w:rPr>
        <w:t xml:space="preserve">PROFESSIONAL SUMMARY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Over 11 years of experience in healthcare data warehousing, managed care analytics, and clinical BI development across leading health plans including UnitedHealth Group, Elevance Health, and Humana, delivering HEDIS, Stars, CCAR, and CMS regulatory reporting solutions.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enterprise BI solutions using Power BI Premium, Tableau, and MicroStrategy, building clinical, financial, and utilization management dashboards integrating Epic EMR, TriZetto Facets, OptumRx, and pharmacy PBM systems for 1,500+ healthcare business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scalable data warehouses on Teradata Vantage, Azure Synapse, and Snowflake implementing Kimball dimensional models for member, claim, clinical quality, pharmacy, and provider network domains across commercial, Medicare Advantage, and Medicaid product lines.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ETL workflows using Informatica PowerCenter, IBM DataStage, and Azure Data Factory processing data from health plan administration, pharmacy benefit management, and care management systems into enterprise healthcare data warehouses.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Engineered advanced analytics using Python for HEDIS measure calculation, Medicare Stars quality analytics, chronic disease risk stratification (Charlson Comorbidity Index, HCC hierarchical condition categories), and care gap identification supporting 15+ million member population health programs.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enterprise data governance using Collibra and IBM Watson Knowledge Catalog managing HIPAA, HITRUST, CMS, and state Medicaid compliance metadata, business glossary, data quality scorecards, and stewardship workflows.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cross-functional analytics delivery coordinating with actuarial scientists, medical directors, compliance officers, and health informatics professionals using Agile/SAFe methodologies for enterprise data programs managing $50B+ in medical spend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Performed Teradata query optimization through EXPLAIN plan analysis, AMP redistribution, join index implementation, and workload management configuration, reducing critical actuarial and population health report runtimes by 42%.</w:t>
      </w:r>
    </w:p>
    <w:p>
      <w:pPr>
        <w:pBdr>
          <w:bottom w:val="single" w:color="000000" w:sz="8" w:space="1"/>
        </w:pBdr>
        <w:spacing w:after="80" w:before="240"/>
      </w:pPr>
      <w:r>
        <w:rPr>
          <w:rFonts w:ascii="Calibri" w:cs="Calibri" w:eastAsia="Calibri" w:hAnsi="Calibri"/>
          <w:b/>
          <w:bCs/>
          <w:color w:val="000000"/>
          <w:sz w:val="22"/>
          <w:szCs w:val="22"/>
        </w:rPr>
        <w:t xml:space="preserve">TECHNICAL SKILLS</w:t>
      </w:r>
    </w:p>
    <w:p>
      <w:pPr>
        <w:spacing w:after="60"/>
      </w:pPr>
      <w:r>
        <w:rPr>
          <w:rFonts w:ascii="Calibri" w:cs="Calibri" w:eastAsia="Calibri" w:hAnsi="Calibri"/>
          <w:b/>
          <w:bCs/>
          <w:color w:val="000000"/>
          <w:sz w:val="19"/>
          <w:szCs w:val="19"/>
        </w:rPr>
        <w:t xml:space="preserve">BI &amp; Reporting Tools: </w:t>
      </w:r>
      <w:r>
        <w:rPr>
          <w:rFonts w:ascii="Calibri" w:cs="Calibri" w:eastAsia="Calibri" w:hAnsi="Calibri"/>
          <w:b w:val="false"/>
          <w:bCs w:val="false"/>
          <w:color w:val="000000"/>
          <w:sz w:val="19"/>
          <w:szCs w:val="19"/>
        </w:rPr>
        <w:t xml:space="preserve">Power BI Desktop/Service/Premium, Tableau Desktop 2023.x/Server, MicroStrategy 2021.x, SSRS 2019, SAP BusinessObjects, Looker</w:t>
      </w:r>
    </w:p>
    <w:p>
      <w:pPr>
        <w:spacing w:after="60"/>
      </w:pPr>
      <w:r>
        <w:rPr>
          <w:rFonts w:ascii="Calibri" w:cs="Calibri" w:eastAsia="Calibri" w:hAnsi="Calibri"/>
          <w:b/>
          <w:bCs/>
          <w:color w:val="000000"/>
          <w:sz w:val="19"/>
          <w:szCs w:val="19"/>
        </w:rPr>
        <w:t xml:space="preserve">ETL/ELT Tools: </w:t>
      </w:r>
      <w:r>
        <w:rPr>
          <w:rFonts w:ascii="Calibri" w:cs="Calibri" w:eastAsia="Calibri" w:hAnsi="Calibri"/>
          <w:b w:val="false"/>
          <w:bCs w:val="false"/>
          <w:color w:val="000000"/>
          <w:sz w:val="19"/>
          <w:szCs w:val="19"/>
        </w:rPr>
        <w:t xml:space="preserve">Informatica PowerCenter 10.5/9.x, IBM DataStage 11.7, Azure Data Factory v2, dbt Core 1.6, Talend Enterprise, SSIS 2019</w:t>
      </w:r>
    </w:p>
    <w:p>
      <w:pPr>
        <w:spacing w:after="60"/>
      </w:pPr>
      <w:r>
        <w:rPr>
          <w:rFonts w:ascii="Calibri" w:cs="Calibri" w:eastAsia="Calibri" w:hAnsi="Calibri"/>
          <w:b/>
          <w:bCs/>
          <w:color w:val="000000"/>
          <w:sz w:val="19"/>
          <w:szCs w:val="19"/>
        </w:rPr>
        <w:t xml:space="preserve">Data Warehouses &amp; Databases: </w:t>
      </w:r>
      <w:r>
        <w:rPr>
          <w:rFonts w:ascii="Calibri" w:cs="Calibri" w:eastAsia="Calibri" w:hAnsi="Calibri"/>
          <w:b w:val="false"/>
          <w:bCs w:val="false"/>
          <w:color w:val="000000"/>
          <w:sz w:val="19"/>
          <w:szCs w:val="19"/>
        </w:rPr>
        <w:t xml:space="preserve">Teradata Vantage 17.x, Azure Synapse Analytics, Snowflake Enterprise, Oracle Exadata 19c, Microsoft SQL Server 2022, GCP BigQuery</w:t>
      </w:r>
    </w:p>
    <w:p>
      <w:pPr>
        <w:spacing w:after="60"/>
      </w:pPr>
      <w:r>
        <w:rPr>
          <w:rFonts w:ascii="Calibri" w:cs="Calibri" w:eastAsia="Calibri" w:hAnsi="Calibri"/>
          <w:b/>
          <w:bCs/>
          <w:color w:val="000000"/>
          <w:sz w:val="19"/>
          <w:szCs w:val="19"/>
        </w:rPr>
        <w:t xml:space="preserve">Cloud Platforms: </w:t>
      </w:r>
      <w:r>
        <w:rPr>
          <w:rFonts w:ascii="Calibri" w:cs="Calibri" w:eastAsia="Calibri" w:hAnsi="Calibri"/>
          <w:b w:val="false"/>
          <w:bCs w:val="false"/>
          <w:color w:val="000000"/>
          <w:sz w:val="19"/>
          <w:szCs w:val="19"/>
        </w:rPr>
        <w:t xml:space="preserve">Microsoft Azure (Synapse, ADF, ADLS Gen2, Databricks, Azure ML, Key Vault, DevOps), AWS (Redshift, Glue, S3), GCP (BigQuery, Cloud Composer)</w:t>
      </w:r>
    </w:p>
    <w:p>
      <w:pPr>
        <w:spacing w:after="60"/>
      </w:pPr>
      <w:r>
        <w:rPr>
          <w:rFonts w:ascii="Calibri" w:cs="Calibri" w:eastAsia="Calibri" w:hAnsi="Calibri"/>
          <w:b/>
          <w:bCs/>
          <w:color w:val="000000"/>
          <w:sz w:val="19"/>
          <w:szCs w:val="19"/>
        </w:rPr>
        <w:t xml:space="preserve">Healthcare Systems: </w:t>
      </w:r>
      <w:r>
        <w:rPr>
          <w:rFonts w:ascii="Calibri" w:cs="Calibri" w:eastAsia="Calibri" w:hAnsi="Calibri"/>
          <w:b w:val="false"/>
          <w:bCs w:val="false"/>
          <w:color w:val="000000"/>
          <w:sz w:val="19"/>
          <w:szCs w:val="19"/>
        </w:rPr>
        <w:t xml:space="preserve">Epic EMR, TriZetto Facets, OptumRx, MedImpact, Magellan Health, Cotiviti, Inovalon, Milliman MedInsight, NCQA HEDIS specifications, CMS Stars framework, ICD-10/CPT/NDC code sets, HL7/FHIR</w:t>
      </w:r>
    </w:p>
    <w:p>
      <w:pPr>
        <w:spacing w:after="60"/>
      </w:pPr>
      <w:r>
        <w:rPr>
          <w:rFonts w:ascii="Calibri" w:cs="Calibri" w:eastAsia="Calibri" w:hAnsi="Calibri"/>
          <w:b/>
          <w:bCs/>
          <w:color w:val="000000"/>
          <w:sz w:val="19"/>
          <w:szCs w:val="19"/>
        </w:rPr>
        <w:t xml:space="preserve">Clinical Analytics: </w:t>
      </w:r>
      <w:r>
        <w:rPr>
          <w:rFonts w:ascii="Calibri" w:cs="Calibri" w:eastAsia="Calibri" w:hAnsi="Calibri"/>
          <w:b w:val="false"/>
          <w:bCs w:val="false"/>
          <w:color w:val="000000"/>
          <w:sz w:val="19"/>
          <w:szCs w:val="19"/>
        </w:rPr>
        <w:t xml:space="preserve">HEDIS Measures (ALL domains), CMS Medicare Stars, HCC Risk Adjustment, Charlson Comorbidity Index, SDOH, Population Health Stratification, Care Gap Analysis, Pharmacy Adherence (MPR/PDC)</w:t>
      </w:r>
    </w:p>
    <w:p>
      <w:pPr>
        <w:spacing w:after="60"/>
      </w:pPr>
      <w:r>
        <w:rPr>
          <w:rFonts w:ascii="Calibri" w:cs="Calibri" w:eastAsia="Calibri" w:hAnsi="Calibri"/>
          <w:b/>
          <w:bCs/>
          <w:color w:val="000000"/>
          <w:sz w:val="19"/>
          <w:szCs w:val="19"/>
        </w:rPr>
        <w:t xml:space="preserve">Data Governance &amp; Compliance: </w:t>
      </w:r>
      <w:r>
        <w:rPr>
          <w:rFonts w:ascii="Calibri" w:cs="Calibri" w:eastAsia="Calibri" w:hAnsi="Calibri"/>
          <w:b w:val="false"/>
          <w:bCs w:val="false"/>
          <w:color w:val="000000"/>
          <w:sz w:val="19"/>
          <w:szCs w:val="19"/>
        </w:rPr>
        <w:t xml:space="preserve">Collibra Data Intelligence Cloud, IBM Watson Knowledge Catalog, Informatica Axon, HIPAA/HITRUST/CMS/Medicaid compliance frameworks, 42 CFR Part 2</w:t>
      </w:r>
    </w:p>
    <w:p>
      <w:pPr>
        <w:spacing w:after="60"/>
      </w:pPr>
      <w:r>
        <w:rPr>
          <w:rFonts w:ascii="Calibri" w:cs="Calibri" w:eastAsia="Calibri" w:hAnsi="Calibri"/>
          <w:b/>
          <w:bCs/>
          <w:color w:val="000000"/>
          <w:sz w:val="19"/>
          <w:szCs w:val="19"/>
        </w:rPr>
        <w:t xml:space="preserve">Data Modeling: </w:t>
      </w:r>
      <w:r>
        <w:rPr>
          <w:rFonts w:ascii="Calibri" w:cs="Calibri" w:eastAsia="Calibri" w:hAnsi="Calibri"/>
          <w:b w:val="false"/>
          <w:bCs w:val="false"/>
          <w:color w:val="000000"/>
          <w:sz w:val="19"/>
          <w:szCs w:val="19"/>
        </w:rPr>
        <w:t xml:space="preserve">Kimball Dimensional Modeling, Star Schema, Data Vault 2.0, SCD Types 1/2/3, HL7 FHIR data models, Erwin Data Modeler</w:t>
      </w:r>
    </w:p>
    <w:p>
      <w:pPr>
        <w:spacing w:after="60"/>
      </w:pPr>
      <w:r>
        <w:rPr>
          <w:rFonts w:ascii="Calibri" w:cs="Calibri" w:eastAsia="Calibri" w:hAnsi="Calibri"/>
          <w:b/>
          <w:bCs/>
          <w:color w:val="000000"/>
          <w:sz w:val="19"/>
          <w:szCs w:val="19"/>
        </w:rPr>
        <w:t xml:space="preserve">Programming Languages: </w:t>
      </w:r>
      <w:r>
        <w:rPr>
          <w:rFonts w:ascii="Calibri" w:cs="Calibri" w:eastAsia="Calibri" w:hAnsi="Calibri"/>
          <w:b w:val="false"/>
          <w:bCs w:val="false"/>
          <w:color w:val="000000"/>
          <w:sz w:val="19"/>
          <w:szCs w:val="19"/>
        </w:rPr>
        <w:t xml:space="preserve">SQL, T-SQL, PL/SQL, Python 3.x (pandas, numpy, scikit-learn, lifelines, pyhealth, PySpark), R (tidyverse, survival, caret), DAX, MDX, BTEQ</w:t>
      </w:r>
    </w:p>
    <w:p>
      <w:pPr>
        <w:spacing w:after="60"/>
      </w:pPr>
      <w:r>
        <w:rPr>
          <w:rFonts w:ascii="Calibri" w:cs="Calibri" w:eastAsia="Calibri" w:hAnsi="Calibri"/>
          <w:b/>
          <w:bCs/>
          <w:color w:val="000000"/>
          <w:sz w:val="19"/>
          <w:szCs w:val="19"/>
        </w:rPr>
        <w:t xml:space="preserve">Data Quality &amp; Observability: </w:t>
      </w:r>
      <w:r>
        <w:rPr>
          <w:rFonts w:ascii="Calibri" w:cs="Calibri" w:eastAsia="Calibri" w:hAnsi="Calibri"/>
          <w:b w:val="false"/>
          <w:bCs w:val="false"/>
          <w:color w:val="000000"/>
          <w:sz w:val="19"/>
          <w:szCs w:val="19"/>
        </w:rPr>
        <w:t xml:space="preserve">Informatica Data Quality 10.x, Monte Carlo, Great Expectations, Ataccama ONE, dbt Tests</w:t>
      </w:r>
    </w:p>
    <w:p>
      <w:pPr>
        <w:spacing w:after="60"/>
      </w:pPr>
      <w:r>
        <w:rPr>
          <w:rFonts w:ascii="Calibri" w:cs="Calibri" w:eastAsia="Calibri" w:hAnsi="Calibri"/>
          <w:b/>
          <w:bCs/>
          <w:color w:val="000000"/>
          <w:sz w:val="19"/>
          <w:szCs w:val="19"/>
        </w:rPr>
        <w:t xml:space="preserve">DevOps &amp; Version Control: </w:t>
      </w:r>
      <w:r>
        <w:rPr>
          <w:rFonts w:ascii="Calibri" w:cs="Calibri" w:eastAsia="Calibri" w:hAnsi="Calibri"/>
          <w:b w:val="false"/>
          <w:bCs w:val="false"/>
          <w:color w:val="000000"/>
          <w:sz w:val="19"/>
          <w:szCs w:val="19"/>
        </w:rPr>
        <w:t xml:space="preserve">Git/GitHub/Azure DevOps, Jenkins, CI/CD Pipelines, Docker</w:t>
      </w:r>
    </w:p>
    <w:p>
      <w:pPr>
        <w:spacing w:after="60"/>
      </w:pPr>
      <w:r>
        <w:rPr>
          <w:rFonts w:ascii="Calibri" w:cs="Calibri" w:eastAsia="Calibri" w:hAnsi="Calibri"/>
          <w:b/>
          <w:bCs/>
          <w:color w:val="000000"/>
          <w:sz w:val="19"/>
          <w:szCs w:val="19"/>
        </w:rPr>
        <w:t xml:space="preserve">Methodologies: </w:t>
      </w:r>
      <w:r>
        <w:rPr>
          <w:rFonts w:ascii="Calibri" w:cs="Calibri" w:eastAsia="Calibri" w:hAnsi="Calibri"/>
          <w:b w:val="false"/>
          <w:bCs w:val="false"/>
          <w:color w:val="000000"/>
          <w:sz w:val="19"/>
          <w:szCs w:val="19"/>
        </w:rPr>
        <w:t xml:space="preserve">Agile/Scrum, SAFe, SDLC, DataOps, Kimball Lifecycle, HL7 FHIR implementation</w:t>
      </w:r>
    </w:p>
    <w:p>
      <w:pPr>
        <w:pBdr>
          <w:bottom w:val="single" w:color="000000" w:sz="8" w:space="1"/>
        </w:pBdr>
        <w:spacing w:after="80" w:before="240"/>
      </w:pPr>
      <w:r>
        <w:rPr>
          <w:rFonts w:ascii="Calibri" w:cs="Calibri" w:eastAsia="Calibri" w:hAnsi="Calibri"/>
          <w:b/>
          <w:bCs/>
          <w:color w:val="000000"/>
          <w:sz w:val="22"/>
          <w:szCs w:val="22"/>
        </w:rPr>
        <w:t xml:space="preserve">CERTIFICATIONS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Data Engineer Associate (DP-203) – Microsoft,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Power BI Data Analyst Associate (PL-300) – Microsoft,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Microsoft Certified: Azure Solutions Architect Expert (AZ-305) – Microsoft, 2023</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Tableau Desktop Certified Associate – Tableau/Salesforce, 2022</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Informatica PowerCenter Developer Specialist – Informatica, 2021</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NCQA HEDIS Certified Measure Analyst – NCQA, 2020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Certified Health Data Analyst (CHDA) – AHIMA, 2021</w:t>
      </w:r>
    </w:p>
    <w:p>
      <w:pPr>
        <w:pBdr>
          <w:bottom w:val="single" w:color="000000" w:sz="8" w:space="1"/>
        </w:pBdr>
        <w:spacing w:after="80" w:before="240"/>
      </w:pPr>
      <w:r>
        <w:rPr>
          <w:rFonts w:ascii="Calibri" w:cs="Calibri" w:eastAsia="Calibri" w:hAnsi="Calibri"/>
          <w:b/>
          <w:bCs/>
          <w:color w:val="000000"/>
          <w:sz w:val="22"/>
          <w:szCs w:val="22"/>
        </w:rPr>
        <w:t xml:space="preserve">PROFESSIONAL EXPERIENCE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UnitedHealth Group (Optum)</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Eden Prairie, MN</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DATA WAREHOUSE ENGINEER / BI LEAD</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April 2023 – Present</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enterprise Teradata Vantage 17.x integrated with Azure Synapse Analytics for member, claim, pharmacy, clinical quality, and provider network analytics, building conformed dimensional models for cross-domain population health analysis of 50+ million commercial, Medicare Advantage, and Medicaid members.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and Azure Data Factory workflows ingesting data from Epic, TriZetto Facets, OptumRx, Magellan Behavioral Health, and Salesforce Health Cloud, processing 500+ million daily claim records for HEDIS, Stars, and ACA regulatory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Premium workspaces with Azure Analysis Services composite tabular models for medical loss ratio, HEDIS measure performance, HCC risk score distribution, member satisfaction (CAHPS), and utilization management dashboards with DAX measures and row-level security for 1,500+ clinical, actuarial, and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Tableau Server enterprise deployment for clinical operations and network management analytics, certifying 60+ data sources and designing row-level security enforcing plan, market, and provider group access hierarchies for 800+ field and operations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Python models for chronic disease population risk stratification using HCC categories, Charlson Comorbidity Index, social determinants of health (SDOH) features, and pharmacy adherence signals (MPR/PDC), enabling proactive care management outreach for 500,000+ high-risk members annually.</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HEDIS measure calculation engine in Python and SQL, automating NCQA-compliant measure logic for 30+ HEDIS measures across commercial, Medicaid, and Medicare product lines, replacing manual SAS-based processes and reducing production cycle time from 2 weeks to 3 days.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Collibra and Monte Carlo governance platform, managing HIPAA, HITRUST, and CMS compliance metadata, automated lineage from ADF and Informatica, and data quality monitors across 300+ pipeline assets with PagerDuty integration.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Performed Teradata Vantage query optimization through EXPLAIN plan analysis, AMP redistribution strategies, join index and aggregate join index implementation, workload management TASM configuration, and spool space optimization, reducing actuarial population health query runtimes by 45%.</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Coordinated with actuarial science, medical management, compliance, and HEDIS operations teams to define data contracts, SLA requirements, and clinical data quality acceptance criteria for 60+ critical healthcare data domains.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Led and mentored a team of 6 data engineers and BI analysts, conducting code reviews, establishing SQL and Python coding standards, and delivering technical training on Teradata, Azure Synapse, and Informatica platforms.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Teradata Vantage 17.x, Azure Synapse Analytics, Informatica PowerCenter 10.5, Azure Data Factory v2, dbt Core 1.6, Power BI Premium, Azure Analysis Services, Tableau Server 2023.x, Python 3.x, R, Collibra, Monte Carlo, Informatica Data Quality, SQL, DAX, Git/Azure DevOps, Jira, Confluence</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Elevance Health (formerly Anthem Inc.)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Indianapolis, IN</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SR. BI DEVELOPER / DATA ANALYST</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August 2020 – March 2023</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Snowflake data warehouse with dbt transformation models for commercial, Medicare Advantage, Medicaid, and ACA marketplace analytics, building dimensional models for member, claim, pharmacy, and provider domains across 45 million members.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Power BI Premium and Tableau dashboards for medical spend trend analysis, Stars quality measure performance, pharmacy rebate analytics, and provider network adequacy reporting for 900+ medical management and network users.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Implemented IBM Watson Knowledge Catalog for HIPAA-compliant data cataloging, sensitivity classification, and lineage documentation for clinical and member PII data across analytics platforms serving regulated health plan products.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Python HEDIS measure calculation modules for 25+ HEDIS measures automating measure logic, denominator/numerator identification, and exclusion processing aligned with annual NCQA HEDIS Technical Specifications.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actuarial trend analysis data models and Power BI dashboards integrating claims, enrollment, and pharmacy data for medical expense forecasting, IBNR estimation, and commercial pricing actuarial support.</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Snowflake, dbt Core, Power BI Premium, Azure Analysis Services, Tableau Server, Python 3.x, IBM Watson Knowledge Catalog, Azure Data Factory, Apache Airflow, SQL, DAX,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Humana Inc.</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Louisville, KY</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DATA WAREHOUSE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June 2017 – July 2020</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Designed Oracle Exadata data warehouse supporting Medicare Advantage, prescription drug plan, group life/disability insurance, and Humana Pharmacy analytics, building star schema dimensional models across member, claim, pharmacy, and clinical domains.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IBM DataStage pipelines for ingestion from claims adjudication, pharmacy PBM, care management, and primary care provider systems into Oracle staging and dimensional layers for actuarial and quality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Tableau and SSRS dashboards for clinical quality outcomes, Medicare Stars quality measure tracking, medical cost trends, and pharmacy adherence rates for medical management and Stars program leadership.</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Oracle Exadata X7, IBM DataStage 11.x, Tableau Desktop/Server, SSRS 2017, Informatica PowerCenter 10.x, SQL, PL/SQL, Erwin Data Modeler, Jira</w:t>
      </w:r>
    </w:p>
    <w:p>
      <w:pPr>
        <w:spacing w:after="60" w:before="160"/>
      </w:pPr>
      <w:r>
        <w:rPr>
          <w:rFonts w:ascii="Calibri" w:cs="Calibri" w:eastAsia="Calibri" w:hAnsi="Calibri"/>
          <w:b/>
          <w:bCs/>
          <w:color w:val="000000"/>
          <w:sz w:val="20"/>
          <w:szCs w:val="20"/>
        </w:rPr>
        <w:t xml:space="preserve">Client: </w:t>
      </w:r>
      <w:r>
        <w:rPr>
          <w:rFonts w:ascii="Calibri" w:cs="Calibri" w:eastAsia="Calibri" w:hAnsi="Calibri"/>
          <w:b/>
          <w:bCs/>
          <w:color w:val="000000"/>
          <w:sz w:val="20"/>
          <w:szCs w:val="20"/>
        </w:rPr>
        <w:t xml:space="preserve">Persistent Systems (Client: WellPoint / Anthem India)</w:t>
      </w:r>
      <w:r>
        <w:rPr>
          <w:rFonts w:ascii="Calibri" w:cs="Calibri" w:eastAsia="Calibri" w:hAnsi="Calibri"/>
          <w:b w:val="false"/>
          <w:bCs w:val="false"/>
          <w:color w:val="000000"/>
          <w:sz w:val="20"/>
          <w:szCs w:val="20"/>
        </w:rPr>
        <w:t xml:space="preserve">          Location: </w:t>
      </w:r>
      <w:r>
        <w:rPr>
          <w:rFonts w:ascii="Calibri" w:cs="Calibri" w:eastAsia="Calibri" w:hAnsi="Calibri"/>
          <w:b w:val="false"/>
          <w:bCs w:val="false"/>
          <w:color w:val="000000"/>
          <w:sz w:val="20"/>
          <w:szCs w:val="20"/>
        </w:rPr>
        <w:t xml:space="preserve">Pune, India</w:t>
      </w:r>
    </w:p>
    <w:p>
      <w:pPr>
        <w:spacing w:after="80"/>
      </w:pPr>
      <w:r>
        <w:rPr>
          <w:rFonts w:ascii="Calibri" w:cs="Calibri" w:eastAsia="Calibri" w:hAnsi="Calibri"/>
          <w:b/>
          <w:bCs/>
          <w:color w:val="000000"/>
          <w:sz w:val="20"/>
          <w:szCs w:val="20"/>
        </w:rPr>
        <w:t xml:space="preserve">Role: </w:t>
      </w:r>
      <w:r>
        <w:rPr>
          <w:rFonts w:ascii="Calibri" w:cs="Calibri" w:eastAsia="Calibri" w:hAnsi="Calibri"/>
          <w:b/>
          <w:bCs/>
          <w:color w:val="000000"/>
          <w:sz w:val="20"/>
          <w:szCs w:val="20"/>
        </w:rPr>
        <w:t xml:space="preserve">ETL DEVELOPER</w:t>
      </w:r>
      <w:r>
        <w:rPr>
          <w:rFonts w:ascii="Calibri" w:cs="Calibri" w:eastAsia="Calibri" w:hAnsi="Calibri"/>
          <w:b w:val="false"/>
          <w:bCs w:val="false"/>
          <w:color w:val="000000"/>
          <w:sz w:val="20"/>
          <w:szCs w:val="20"/>
        </w:rPr>
        <w:t xml:space="preserve">          </w:t>
      </w:r>
      <w:r>
        <w:rPr>
          <w:rFonts w:ascii="Calibri" w:cs="Calibri" w:eastAsia="Calibri" w:hAnsi="Calibri"/>
          <w:b w:val="false"/>
          <w:bCs w:val="false"/>
          <w:color w:val="000000"/>
          <w:sz w:val="20"/>
          <w:szCs w:val="20"/>
        </w:rPr>
        <w:t xml:space="preserve">September 2014 – May 2017</w:t>
      </w:r>
    </w:p>
    <w:p>
      <w:pPr>
        <w:spacing w:after="60"/>
      </w:pPr>
      <w:r>
        <w:rPr>
          <w:rFonts w:ascii="Calibri" w:cs="Calibri" w:eastAsia="Calibri" w:hAnsi="Calibri"/>
          <w:b/>
          <w:bCs/>
          <w:color w:val="000000"/>
          <w:sz w:val="19"/>
          <w:szCs w:val="19"/>
        </w:rPr>
        <w:t xml:space="preserve">Responsibilities: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Developed Informatica PowerCenter 9.x mappings for SAP ECC and Oracle claims, enrollment, and provider data extraction into SQL Server data warehouse for healthcare analytics.</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Built SSRS parameterized reports and SAP BusinessObjects Webi dashboards for claims operations and provider management reporting.</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Created SSIS packages for CDC-based incremental loading from Oracle claims adjudication and enrollment systems.</w:t>
      </w:r>
    </w:p>
    <w:p>
      <w:pPr>
        <w:spacing w:after="120" w:before="80"/>
      </w:pPr>
      <w:r>
        <w:rPr>
          <w:rFonts w:ascii="Calibri" w:cs="Calibri" w:eastAsia="Calibri" w:hAnsi="Calibri"/>
          <w:b/>
          <w:bCs/>
          <w:color w:val="000000"/>
          <w:sz w:val="19"/>
          <w:szCs w:val="19"/>
        </w:rPr>
        <w:t xml:space="preserve">Environment: </w:t>
      </w:r>
      <w:r>
        <w:rPr>
          <w:rFonts w:ascii="Calibri" w:cs="Calibri" w:eastAsia="Calibri" w:hAnsi="Calibri"/>
          <w:b w:val="false"/>
          <w:bCs w:val="false"/>
          <w:color w:val="000000"/>
          <w:sz w:val="19"/>
          <w:szCs w:val="19"/>
        </w:rPr>
        <w:t xml:space="preserve">Informatica PowerCenter 9.x, SAP ECC, Oracle 11g, Microsoft SQL Server 2012, SSIS 2012, SSRS 2012, SAP BusinessObjects 4.x, SQL, PL/SQL, T-SQL</w:t>
      </w:r>
    </w:p>
    <w:p>
      <w:pPr>
        <w:pBdr>
          <w:bottom w:val="single" w:color="000000" w:sz="8" w:space="1"/>
        </w:pBdr>
        <w:spacing w:after="80" w:before="240"/>
      </w:pPr>
      <w:r>
        <w:rPr>
          <w:rFonts w:ascii="Calibri" w:cs="Calibri" w:eastAsia="Calibri" w:hAnsi="Calibri"/>
          <w:b/>
          <w:bCs/>
          <w:color w:val="000000"/>
          <w:sz w:val="22"/>
          <w:szCs w:val="22"/>
        </w:rPr>
        <w:t xml:space="preserve">EDUCATION</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Master of Science (MS) | Health Informatics | University of Minnesota Twin Cities | Minneapolis, MN | August 2012 – May 2014 | GPA: 3.85/4.0</w:t>
      </w:r>
    </w:p>
    <w:p>
      <w:pPr>
        <w:pStyle w:val="ListParagraph"/>
        <w:numPr>
          <w:ilvl w:val="0"/>
          <w:numId w:val="2"/>
        </w:numPr>
        <w:spacing w:after="60" w:line="276"/>
      </w:pPr>
      <w:r>
        <w:rPr>
          <w:rFonts w:ascii="Calibri" w:cs="Calibri" w:eastAsia="Calibri" w:hAnsi="Calibri"/>
          <w:b w:val="false"/>
          <w:bCs w:val="false"/>
          <w:color w:val="000000"/>
          <w:sz w:val="19"/>
          <w:szCs w:val="19"/>
        </w:rPr>
        <w:t xml:space="preserve">Bachelor of Technology (B.Tech) | Computer Science &amp; Engineering | JNTU Anantapur | Anantapur, Andhra Pradesh, India | June 2008 – May 2012 | First Class with Distinction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2026-04-18T19:42:24.138Z</dcterms:created>
  <dcterms:modified xsi:type="dcterms:W3CDTF">2026-04-18T19:42:24.138Z</dcterms:modified>
</cp:coreProperties>
</file>

<file path=docProps/custom.xml><?xml version="1.0" encoding="utf-8"?>
<Properties xmlns="http://schemas.openxmlformats.org/officeDocument/2006/custom-properties" xmlns:vt="http://schemas.openxmlformats.org/officeDocument/2006/docPropsVTypes"/>
</file>