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00000"/>
          <w:sz w:val="36"/>
          <w:szCs w:val="36"/>
        </w:rPr>
        <w:t xml:space="preserve">Padmavathi Subramaniam</w:t>
      </w:r>
    </w:p>
    <w:p>
      <w:pPr>
        <w:spacing w:after="160"/>
        <w:jc w:val="center"/>
      </w:pPr>
      <w:r>
        <w:rPr>
          <w:rFonts w:ascii="Calibri" w:cs="Calibri" w:eastAsia="Calibri" w:hAnsi="Calibri"/>
          <w:b w:val="false"/>
          <w:bCs w:val="false"/>
          <w:color w:val="000000"/>
          <w:sz w:val="19"/>
          <w:szCs w:val="19"/>
        </w:rPr>
        <w:t xml:space="preserve">linkedin.com/in/padmavathisubramaniam  |  +1 (206)-334-8821  |  padmavathi.subramaniam.bi@gmail.com</w:t>
      </w:r>
    </w:p>
    <w:p>
      <w:pPr>
        <w:pBdr>
          <w:bottom w:val="single" w:color="000000" w:sz="8" w:space="1"/>
        </w:pBdr>
        <w:spacing w:after="80" w:before="240"/>
      </w:pPr>
      <w:r>
        <w:rPr>
          <w:rFonts w:ascii="Calibri" w:cs="Calibri" w:eastAsia="Calibri" w:hAnsi="Calibri"/>
          <w:b/>
          <w:bCs/>
          <w:color w:val="000000"/>
          <w:sz w:val="22"/>
          <w:szCs w:val="22"/>
        </w:rPr>
        <w:t xml:space="preserve">PROFESSIONAL SUMMARY</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Over 11 years of deep expertise in Power BI architecture, Azure cloud analytics, and enterprise data modeling across technology, aerospace, and cloud services industries, delivering governed self-service analytics platforms for Microsoft, Amazon, and Boeing.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enterprise Power BI Premium solutions with Azure Analysis Services composite tabular models, building advanced DAX semantic layers, hierarchies, and row-level security frameworks enabling 2,000+ business users to access governed financial, product, and operational analytics content.</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scalable cloud data warehouses on Azure Synapse Analytics, Snowflake, and AWS Redshift, implementing Kimball dimensional models with conformed dimensions, SCD Type 2, and incremental processing strategies for multi-terabyte analytical workloads.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ELT workflows using dbt, Azure Data Factory, and AWS Glue, ingesting data from SAP S/4HANA, Dynamics 365, Salesforce, and Oracle EBS into enterprise analytical layers with comprehensive testing, documentation, and lineage tracking.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Engineered advanced DAX composite model architectures on Azure Analysis Services, designing aggregation tables, dual-mode partitions, and DirectQuery/Import hybrid models for sub-second dashboard performance at enterprise scale.</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enterprise data governance using Microsoft Purview and Collibra, automating data lineage from ADF and Synapse pipelines, managing GDPR and SOX compliance classifications, business glossary, and data quality KPI scorecards.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predictive analytics solutions using Python on Azure Machine Learning for demand forecasting, supply chain optimization, and product recommendation modeling, integrating outputs with Power BI operational dashboards.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Led Power BI Center of Excellence (CoE) programs, establishing enterprise deployment guidelines, naming conventions, report design standards, certified dataset governance frameworks, and developer training programs across technology organizations.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Power BI embedded analytics solutions integrating governed reports into internal portals and customer-facing applications using Power BI Embedded REST APIs, service principal authentication, and row-level security for multi-tenant deployments.</w:t>
      </w:r>
    </w:p>
    <w:p>
      <w:pPr>
        <w:pBdr>
          <w:bottom w:val="single" w:color="000000" w:sz="8" w:space="1"/>
        </w:pBdr>
        <w:spacing w:after="80" w:before="240"/>
      </w:pPr>
      <w:r>
        <w:rPr>
          <w:rFonts w:ascii="Calibri" w:cs="Calibri" w:eastAsia="Calibri" w:hAnsi="Calibri"/>
          <w:b/>
          <w:bCs/>
          <w:color w:val="000000"/>
          <w:sz w:val="22"/>
          <w:szCs w:val="22"/>
        </w:rPr>
        <w:t xml:space="preserve">TECHNICAL SKILLS</w:t>
      </w:r>
    </w:p>
    <w:p>
      <w:pPr>
        <w:spacing w:after="60"/>
      </w:pPr>
      <w:r>
        <w:rPr>
          <w:rFonts w:ascii="Calibri" w:cs="Calibri" w:eastAsia="Calibri" w:hAnsi="Calibri"/>
          <w:b/>
          <w:bCs/>
          <w:color w:val="000000"/>
          <w:sz w:val="19"/>
          <w:szCs w:val="19"/>
        </w:rPr>
        <w:t xml:space="preserve">BI &amp; Reporting Tools: </w:t>
      </w:r>
      <w:r>
        <w:rPr>
          <w:rFonts w:ascii="Calibri" w:cs="Calibri" w:eastAsia="Calibri" w:hAnsi="Calibri"/>
          <w:b w:val="false"/>
          <w:bCs w:val="false"/>
          <w:color w:val="000000"/>
          <w:sz w:val="19"/>
          <w:szCs w:val="19"/>
        </w:rPr>
        <w:t xml:space="preserve">Power BI Desktop/Service/Premium/Report Builder/Paginated Reports, Azure Analysis Services, Tableau Desktop/Server, SSRS 2019, MicroStrategy, SAP BusinessObjects, Looker</w:t>
      </w:r>
    </w:p>
    <w:p>
      <w:pPr>
        <w:spacing w:after="60"/>
      </w:pPr>
      <w:r>
        <w:rPr>
          <w:rFonts w:ascii="Calibri" w:cs="Calibri" w:eastAsia="Calibri" w:hAnsi="Calibri"/>
          <w:b/>
          <w:bCs/>
          <w:color w:val="000000"/>
          <w:sz w:val="19"/>
          <w:szCs w:val="19"/>
        </w:rPr>
        <w:t xml:space="preserve">ETL/ELT Tools: </w:t>
      </w:r>
      <w:r>
        <w:rPr>
          <w:rFonts w:ascii="Calibri" w:cs="Calibri" w:eastAsia="Calibri" w:hAnsi="Calibri"/>
          <w:b w:val="false"/>
          <w:bCs w:val="false"/>
          <w:color w:val="000000"/>
          <w:sz w:val="19"/>
          <w:szCs w:val="19"/>
        </w:rPr>
        <w:t xml:space="preserve">dbt Core/Cloud 1.6.x, Azure Data Factory v2, AWS Glue 4.x, Informatica PowerCenter 10.x, IBM DataStage 11.x, SSIS 2019, Fivetran, Airbyte</w:t>
      </w:r>
    </w:p>
    <w:p>
      <w:pPr>
        <w:spacing w:after="60"/>
      </w:pPr>
      <w:r>
        <w:rPr>
          <w:rFonts w:ascii="Calibri" w:cs="Calibri" w:eastAsia="Calibri" w:hAnsi="Calibri"/>
          <w:b/>
          <w:bCs/>
          <w:color w:val="000000"/>
          <w:sz w:val="19"/>
          <w:szCs w:val="19"/>
        </w:rPr>
        <w:t xml:space="preserve">Data Warehouses &amp; Databases: </w:t>
      </w:r>
      <w:r>
        <w:rPr>
          <w:rFonts w:ascii="Calibri" w:cs="Calibri" w:eastAsia="Calibri" w:hAnsi="Calibri"/>
          <w:b w:val="false"/>
          <w:bCs w:val="false"/>
          <w:color w:val="000000"/>
          <w:sz w:val="19"/>
          <w:szCs w:val="19"/>
        </w:rPr>
        <w:t xml:space="preserve">Snowflake Enterprise, Azure Synapse Analytics, AWS Redshift RA3, Oracle Exadata 19c, Microsoft SQL Server 2022, GCP BigQuery, Databricks Delta Lake</w:t>
      </w:r>
    </w:p>
    <w:p>
      <w:pPr>
        <w:spacing w:after="60"/>
      </w:pPr>
      <w:r>
        <w:rPr>
          <w:rFonts w:ascii="Calibri" w:cs="Calibri" w:eastAsia="Calibri" w:hAnsi="Calibri"/>
          <w:b/>
          <w:bCs/>
          <w:color w:val="000000"/>
          <w:sz w:val="19"/>
          <w:szCs w:val="19"/>
        </w:rPr>
        <w:t xml:space="preserve">Cloud Platforms: </w:t>
      </w:r>
      <w:r>
        <w:rPr>
          <w:rFonts w:ascii="Calibri" w:cs="Calibri" w:eastAsia="Calibri" w:hAnsi="Calibri"/>
          <w:b w:val="false"/>
          <w:bCs w:val="false"/>
          <w:color w:val="000000"/>
          <w:sz w:val="19"/>
          <w:szCs w:val="19"/>
        </w:rPr>
        <w:t xml:space="preserve">Microsoft Azure (Synapse Analytics, ADF, ADLS Gen2, Databricks, Azure ML, Purview, Key Vault, DevOps, Monitor, Cognitive Services), AWS (Redshift, Glue, S3, SageMaker, Lake Formation), GCP (BigQuery, Vertex AI)</w:t>
      </w:r>
    </w:p>
    <w:p>
      <w:pPr>
        <w:spacing w:after="60"/>
      </w:pPr>
      <w:r>
        <w:rPr>
          <w:rFonts w:ascii="Calibri" w:cs="Calibri" w:eastAsia="Calibri" w:hAnsi="Calibri"/>
          <w:b/>
          <w:bCs/>
          <w:color w:val="000000"/>
          <w:sz w:val="19"/>
          <w:szCs w:val="19"/>
        </w:rPr>
        <w:t xml:space="preserve">Data Governance: </w:t>
      </w:r>
      <w:r>
        <w:rPr>
          <w:rFonts w:ascii="Calibri" w:cs="Calibri" w:eastAsia="Calibri" w:hAnsi="Calibri"/>
          <w:b w:val="false"/>
          <w:bCs w:val="false"/>
          <w:color w:val="000000"/>
          <w:sz w:val="19"/>
          <w:szCs w:val="19"/>
        </w:rPr>
        <w:t xml:space="preserve">Microsoft Purview, Collibra Data Intelligence Cloud, Informatica Axon, Alation, SOX/GDPR/CCPA compliance frameworks</w:t>
      </w:r>
    </w:p>
    <w:p>
      <w:pPr>
        <w:spacing w:after="60"/>
      </w:pPr>
      <w:r>
        <w:rPr>
          <w:rFonts w:ascii="Calibri" w:cs="Calibri" w:eastAsia="Calibri" w:hAnsi="Calibri"/>
          <w:b/>
          <w:bCs/>
          <w:color w:val="000000"/>
          <w:sz w:val="19"/>
          <w:szCs w:val="19"/>
        </w:rPr>
        <w:t xml:space="preserve">Data Modeling: </w:t>
      </w:r>
      <w:r>
        <w:rPr>
          <w:rFonts w:ascii="Calibri" w:cs="Calibri" w:eastAsia="Calibri" w:hAnsi="Calibri"/>
          <w:b w:val="false"/>
          <w:bCs w:val="false"/>
          <w:color w:val="000000"/>
          <w:sz w:val="19"/>
          <w:szCs w:val="19"/>
        </w:rPr>
        <w:t xml:space="preserve">Kimball Dimensional Modeling, Star Schema, Snowflake Schema, Data Vault 2.0, SCD Types 1/2/3, Medallion Architecture, Erwin, ER/Studio, SAP PowerDesigner</w:t>
      </w:r>
    </w:p>
    <w:p>
      <w:pPr>
        <w:spacing w:after="60"/>
      </w:pPr>
      <w:r>
        <w:rPr>
          <w:rFonts w:ascii="Calibri" w:cs="Calibri" w:eastAsia="Calibri" w:hAnsi="Calibri"/>
          <w:b/>
          <w:bCs/>
          <w:color w:val="000000"/>
          <w:sz w:val="19"/>
          <w:szCs w:val="19"/>
        </w:rPr>
        <w:t xml:space="preserve">Programming &amp; DAX: </w:t>
      </w:r>
      <w:r>
        <w:rPr>
          <w:rFonts w:ascii="Calibri" w:cs="Calibri" w:eastAsia="Calibri" w:hAnsi="Calibri"/>
          <w:b w:val="false"/>
          <w:bCs w:val="false"/>
          <w:color w:val="000000"/>
          <w:sz w:val="19"/>
          <w:szCs w:val="19"/>
        </w:rPr>
        <w:t xml:space="preserve">DAX (advanced), SQL, T-SQL, PL/SQL, Python 3.x (pandas, scikit-learn, numpy, azure-sdk), R, M (Power Query), MDX</w:t>
      </w:r>
    </w:p>
    <w:p>
      <w:pPr>
        <w:spacing w:after="60"/>
      </w:pPr>
      <w:r>
        <w:rPr>
          <w:rFonts w:ascii="Calibri" w:cs="Calibri" w:eastAsia="Calibri" w:hAnsi="Calibri"/>
          <w:b/>
          <w:bCs/>
          <w:color w:val="000000"/>
          <w:sz w:val="19"/>
          <w:szCs w:val="19"/>
        </w:rPr>
        <w:t xml:space="preserve">Power BI Advanced: </w:t>
      </w:r>
      <w:r>
        <w:rPr>
          <w:rFonts w:ascii="Calibri" w:cs="Calibri" w:eastAsia="Calibri" w:hAnsi="Calibri"/>
          <w:b w:val="false"/>
          <w:bCs w:val="false"/>
          <w:color w:val="000000"/>
          <w:sz w:val="19"/>
          <w:szCs w:val="19"/>
        </w:rPr>
        <w:t xml:space="preserve">Power BI Premium Gen2, Deployment Pipelines, Composite Models, Aggregation Tables, DirectQuery, Incremental Refresh, Dataflows Gen2, Power BI Embedded, REST API, Service Principal Auth</w:t>
      </w:r>
    </w:p>
    <w:p>
      <w:pPr>
        <w:spacing w:after="60"/>
      </w:pPr>
      <w:r>
        <w:rPr>
          <w:rFonts w:ascii="Calibri" w:cs="Calibri" w:eastAsia="Calibri" w:hAnsi="Calibri"/>
          <w:b/>
          <w:bCs/>
          <w:color w:val="000000"/>
          <w:sz w:val="19"/>
          <w:szCs w:val="19"/>
        </w:rPr>
        <w:t xml:space="preserve">Data Quality &amp; Observability: </w:t>
      </w:r>
      <w:r>
        <w:rPr>
          <w:rFonts w:ascii="Calibri" w:cs="Calibri" w:eastAsia="Calibri" w:hAnsi="Calibri"/>
          <w:b w:val="false"/>
          <w:bCs w:val="false"/>
          <w:color w:val="000000"/>
          <w:sz w:val="19"/>
          <w:szCs w:val="19"/>
        </w:rPr>
        <w:t xml:space="preserve">Informatica Data Quality, Monte Carlo, Great Expectations, dbt Tests, Microsoft Purview Data Quality</w:t>
      </w:r>
    </w:p>
    <w:p>
      <w:pPr>
        <w:spacing w:after="60"/>
      </w:pPr>
      <w:r>
        <w:rPr>
          <w:rFonts w:ascii="Calibri" w:cs="Calibri" w:eastAsia="Calibri" w:hAnsi="Calibri"/>
          <w:b/>
          <w:bCs/>
          <w:color w:val="000000"/>
          <w:sz w:val="19"/>
          <w:szCs w:val="19"/>
        </w:rPr>
        <w:t xml:space="preserve">DevOps &amp; Version Control: </w:t>
      </w:r>
      <w:r>
        <w:rPr>
          <w:rFonts w:ascii="Calibri" w:cs="Calibri" w:eastAsia="Calibri" w:hAnsi="Calibri"/>
          <w:b w:val="false"/>
          <w:bCs w:val="false"/>
          <w:color w:val="000000"/>
          <w:sz w:val="19"/>
          <w:szCs w:val="19"/>
        </w:rPr>
        <w:t xml:space="preserve">Git/GitHub/Azure DevOps, Terraform, Docker, CI/CD Pipelines, Power BI XMLA endpoints, Tabular Editor, ALM Toolkit</w:t>
      </w:r>
    </w:p>
    <w:p>
      <w:pPr>
        <w:spacing w:after="60"/>
      </w:pPr>
      <w:r>
        <w:rPr>
          <w:rFonts w:ascii="Calibri" w:cs="Calibri" w:eastAsia="Calibri" w:hAnsi="Calibri"/>
          <w:b/>
          <w:bCs/>
          <w:color w:val="000000"/>
          <w:sz w:val="19"/>
          <w:szCs w:val="19"/>
        </w:rPr>
        <w:t xml:space="preserve">Methodologies: </w:t>
      </w:r>
      <w:r>
        <w:rPr>
          <w:rFonts w:ascii="Calibri" w:cs="Calibri" w:eastAsia="Calibri" w:hAnsi="Calibri"/>
          <w:b w:val="false"/>
          <w:bCs w:val="false"/>
          <w:color w:val="000000"/>
          <w:sz w:val="19"/>
          <w:szCs w:val="19"/>
        </w:rPr>
        <w:t xml:space="preserve">Agile/Scrum, SAFe, DataOps, Power BI CoE, Kimball Lifecycle, TOGAF</w:t>
      </w:r>
    </w:p>
    <w:p>
      <w:pPr>
        <w:pBdr>
          <w:bottom w:val="single" w:color="000000" w:sz="8" w:space="1"/>
        </w:pBdr>
        <w:spacing w:after="80" w:before="240"/>
      </w:pPr>
      <w:r>
        <w:rPr>
          <w:rFonts w:ascii="Calibri" w:cs="Calibri" w:eastAsia="Calibri" w:hAnsi="Calibri"/>
          <w:b/>
          <w:bCs/>
          <w:color w:val="000000"/>
          <w:sz w:val="22"/>
          <w:szCs w:val="22"/>
        </w:rPr>
        <w:t xml:space="preserve">CERTIFICATIONS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Microsoft Certified: Power BI Data Analyst Associate (PL-300) – Microsoft,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Microsoft Certified: Azure Data Engineer Associate (DP-203) – Microsoft,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Microsoft Certified: Azure Solutions Architect Expert (AZ-305) – Microsoft,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Microsoft Certified: Fabric Analytics Engineer Associate (DP-600) – Microsoft, 2024</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Snowflake SnowPro Core Certification – Snowflake,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Informatica PowerCenter Developer Specialist – Informatica, 2021</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dbt Certified Developer – dbt Labs, 2023</w:t>
      </w:r>
    </w:p>
    <w:p>
      <w:pPr>
        <w:pBdr>
          <w:bottom w:val="single" w:color="000000" w:sz="8" w:space="1"/>
        </w:pBdr>
        <w:spacing w:after="80" w:before="240"/>
      </w:pPr>
      <w:r>
        <w:rPr>
          <w:rFonts w:ascii="Calibri" w:cs="Calibri" w:eastAsia="Calibri" w:hAnsi="Calibri"/>
          <w:b/>
          <w:bCs/>
          <w:color w:val="000000"/>
          <w:sz w:val="22"/>
          <w:szCs w:val="22"/>
        </w:rPr>
        <w:t xml:space="preserve">PROFESSIONAL EXPERIENCE</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Microsoft Corporation</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Redmond, WA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POWER BI DEVELOPER / DATA MODELER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February 2023 – Present</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Architected enterprise Power BI Premium Gen2 platform with Azure Analysis Services composite tabular models, designing 50+ certified datasets, DAX measures, and hierarchies for finance, commercial, product, and cloud services analytics serving 2,000+ business users across global regions.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dbt transformation pipelines on Snowflake for product usage telemetry, commercial revenue, and Azure consumption analytics, with modular staging, intermediate, and mart layers including 300+ automated schema tests, singular tests, and freshness assertions.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advanced DAX composite models with aggregation tables, dual-mode partitions, and DirectQuery/Import hybrid configurations on Azure Analysis Services, achieving sub-1-second query times for dashboards querying 50+ billion rows of product telemetry data.</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Microsoft Purview governance platform with automated lineage from ADF, Synapse, and dbt pipelines, managing GDPR, SOX, and CCPA compliance data classifications, sensitivity labels, and policy enforcement across 500+ enterprise data assets.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Led Power BI Center of Excellence (CoE) program, authoring enterprise deployment standards, report design guidelines, naming conventions, and certified dataset governance frameworks, reducing report proliferation by 60% through consolidation and certification programs.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Azure Data Factory pipelines with parameterized templates ingesting data from SAP S/4HANA, Dynamics 365, Salesforce, and Azure DevOps into Azure Synapse for enterprise reporting, processing 200+ GB daily with full error handling and retry logic.</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Power BI Embedded multi-tenant solutions integrating governed dashboards into internal engineering portals using service principal authentication, row-level security, and dynamic workspace assignment for 5,000+ internal developer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Python ML models on Azure Machine Learning for cloud resource demand forecasting and customer churn prediction, integrating model scoring outputs into Power BI operational dashboards consumed by product management and customer success teams.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Informatica Data Quality and Purview monitors on 250+ pipeline assets, reducing data-related Power BI dashboard incidents by 55% and improving month-end financial close data readiness from D+3 to D+1.</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Collaborated with engineering, finance, and marketing teams to design Power BI paginated report solutions for regulatory submissions, invoices, and compliance certificates using SSRS Report Builder with Azure AS data sources.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Power BI Premium Gen2, Azure Analysis Services, Azure Synapse Analytics, Snowflake Enterprise, dbt Core 1.6, Azure Data Factory v2, Microsoft Purview, Informaica Data Quality, Python 3.x, DAX, M (Power Query), SQL, Tabular Editor 3, ALM Toolkit, Git/Azure DevOps,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Amazon Web Services (AWS)</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Seattle, WA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BI DEVELOPER / AZURE DATA ENGINEER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June 2020 – January 2023</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AWS Redshift RA3 data warehouse with dbt transformation models for AWS seller analytics, advertising performance, cloud marketplace, and fulfillment analytics, processing 150+ TB of transaction and telemetry data.</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Power BI Premium dashboards for seller performance, advertising ROI, inventory forecasting, and cloud marketplace revenue analytics, implementing row-level security enforcing seller and program access hierarchies for 1,200+ business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AWS Glue ETL pipelines with Spark for ingestion from order management, inventory, advertising, and cloud billing systems into Redshift analytical layers, handling schema evolution and incremental loading at petabyte scale.</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Automated pipeline orchestration using Apache Airflow on AWS MWAA, managing 350+ DAG tasks for daily marketplace, seller, and advertising data refresh workflows with comprehensive SLA monitoring and alerting.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IBM Watson Knowledge Catalog for GDPR and CCPA dataset cataloging, automating sensitivity classification and lineage documentation across marketing and seller analytics platforms.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AWS Redshift RA3, AWS Glue, AWS S3, AWS MWAA, Power BI Premium, Azure Analysis Services, dbt Core, Apache Airflow, Python 3.x, PySpark, IBM Watson Knowledge Catalog, SQL,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The Boeing Company</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Everett, WA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DATA WAREHOUSE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April 2017 – May 2020</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Oracle Exadata X7 data warehouse supporting manufacturing, supply chain, engineering change order, and flight test analytics for Boeing 737 MAX and 787 Dreamliner programs.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IBM DataStage pipelines for extraction from SAP ECC, Teamcenter PLM, CATIA, and supplier EDI systems into Oracle staging and dimensional layers for program performance and supply chain reporting.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Power BI dashboards for production schedule adherence, supplier on-time delivery, quality escape tracking, and procurement spend analytics distributed to program directors and supply chain executives.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SCD Type 2 processing for part, supplier, and engineering change order dimensions with effective-date management and hash-based change detection for program management reporting.</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Oracle Exadata X7, IBM DataStage 11.x, Power BI Desktop/Service, Informatica PowerCenter 10.x, SQL, PL/SQL, Erwin Data Modeler,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Cognizant Technology Solutions (Client: Rolls-Royce Aerospace)</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Hyderabad, India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ETL / BI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July 2014 – March 2017</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Informatica PowerCenter 9.x mappings for SAP BW extraction and Oracle data warehouse loading for aerospace manufacturing operations, maintenance, and financial analytics.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SAP BusinessObjects universes and Webi reports for engine maintenance, overhaul scheduling, and operational performance analytics serving 400+ business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Created SSIS packages for incremental loading from Oracle and SAP ECC transactional systems with audit logging and exception handling.</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Informatica PowerCenter 9.x, SAP BW/ECC, Oracle 11g, Microsoft SQL Server 2012, SSIS 2012, SSRS 2012, SAP BusinessObjects 4.x, SQL, PL/SQL</w:t>
      </w:r>
    </w:p>
    <w:p>
      <w:pPr>
        <w:pBdr>
          <w:bottom w:val="single" w:color="000000" w:sz="8" w:space="1"/>
        </w:pBdr>
        <w:spacing w:after="80" w:before="240"/>
      </w:pPr>
      <w:r>
        <w:rPr>
          <w:rFonts w:ascii="Calibri" w:cs="Calibri" w:eastAsia="Calibri" w:hAnsi="Calibri"/>
          <w:b/>
          <w:bCs/>
          <w:color w:val="000000"/>
          <w:sz w:val="22"/>
          <w:szCs w:val="22"/>
        </w:rPr>
        <w:t xml:space="preserve">EDUCATION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Master of Science (MS) | Information Systems | University of Washington | Seattle, WA | August 2012 – May 2014 | GPA: 3.9/4.0</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Bachelor of Technology (B.Tech) | Computer Science &amp; Engineering | Sri Venkateswara University | Tirupati, Andhra Pradesh, India | June 2008 – May 2012 | First Class with Distinction</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2026-04-18T19:42:23.961Z</dcterms:created>
  <dcterms:modified xsi:type="dcterms:W3CDTF">2026-04-18T19:42:23.961Z</dcterms:modified>
</cp:coreProperties>
</file>

<file path=docProps/custom.xml><?xml version="1.0" encoding="utf-8"?>
<Properties xmlns="http://schemas.openxmlformats.org/officeDocument/2006/custom-properties" xmlns:vt="http://schemas.openxmlformats.org/officeDocument/2006/docPropsVTypes"/>
</file>