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00000"/>
          <w:sz w:val="36"/>
          <w:szCs w:val="36"/>
        </w:rPr>
        <w:t xml:space="preserve">Rajasekhar Pulluri</w:t>
      </w:r>
    </w:p>
    <w:p>
      <w:pPr>
        <w:spacing w:after="160"/>
        <w:jc w:val="center"/>
      </w:pPr>
      <w:r>
        <w:rPr>
          <w:rFonts w:ascii="Calibri" w:cs="Calibri" w:eastAsia="Calibri" w:hAnsi="Calibri"/>
          <w:b w:val="false"/>
          <w:bCs w:val="false"/>
          <w:color w:val="000000"/>
          <w:sz w:val="19"/>
          <w:szCs w:val="19"/>
        </w:rPr>
        <w:t xml:space="preserve">linkedin.com/in/rajasekharPulluri  |  +1 (215)-773-4209  |  rajasekhar.pulluri.data@gmail.com</w:t>
      </w:r>
    </w:p>
    <w:p>
      <w:pPr>
        <w:pBdr>
          <w:bottom w:val="single" w:color="000000" w:sz="8" w:space="1"/>
        </w:pBdr>
        <w:spacing w:after="80" w:before="240"/>
      </w:pPr>
      <w:r>
        <w:rPr>
          <w:rFonts w:ascii="Calibri" w:cs="Calibri" w:eastAsia="Calibri" w:hAnsi="Calibri"/>
          <w:b/>
          <w:bCs/>
          <w:color w:val="000000"/>
          <w:sz w:val="22"/>
          <w:szCs w:val="22"/>
        </w:rPr>
        <w:t xml:space="preserve">PROFESSIONAL SUMMARY</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Over 10 years of experience in Snowflake data engineering, real-time streaming analytics, and media/cable industry data platforms, specializing in subscriber analytics, advertising performance measurement, content engagement analytics, and FCC compliance reporting for Comcast, Charter, and Dish Network.</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Architected enterprise Snowflake data platforms with real-time Kafka streaming ingestion, designing scalable subscriber, content, and advertising analytical layers processing 10+ billion set-top-box events daily for Comcast's 32 million subscriber base.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complex ELT workflows using dbt, Apache Airflow, and Azure Data Factory, orchestrating subscriber management, billing, content delivery, and advertising impression data into centralized analytical layers supporting commercial, finance, and product teams.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BI solutions using Looker, Power BI, and Tableau, delivering subscriber lifecycle, advertising revenue, content engagement, and network performance dashboards with row-level security for 1,000+ cable business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real-time streaming pipelines using Apache Kafka, Spark Streaming, and Databricks Delta Live Tables for set-top-box event processing, ad impression tracking, and network health monitoring at scale.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enterprise data governance using Collibra and Monte Carlo, managing FCC, CPNI, and CCPA compliance metadata, business glossary, data lineage, and quality observability across 350+ pipeline assets.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Snowflake migration from on-premises Teradata environments, achieving 50% query cost reduction, 3x concurrent user throughput improvement, and 70% reduction in ETL infrastructure maintenance overhead.</w:t>
      </w:r>
    </w:p>
    <w:p>
      <w:pPr>
        <w:pBdr>
          <w:bottom w:val="single" w:color="000000" w:sz="8" w:space="1"/>
        </w:pBdr>
        <w:spacing w:after="80" w:before="240"/>
      </w:pPr>
      <w:r>
        <w:rPr>
          <w:rFonts w:ascii="Calibri" w:cs="Calibri" w:eastAsia="Calibri" w:hAnsi="Calibri"/>
          <w:b/>
          <w:bCs/>
          <w:color w:val="000000"/>
          <w:sz w:val="22"/>
          <w:szCs w:val="22"/>
        </w:rPr>
        <w:t xml:space="preserve">TECHNICAL SKILLS</w:t>
      </w:r>
    </w:p>
    <w:p>
      <w:pPr>
        <w:spacing w:after="60"/>
      </w:pPr>
      <w:r>
        <w:rPr>
          <w:rFonts w:ascii="Calibri" w:cs="Calibri" w:eastAsia="Calibri" w:hAnsi="Calibri"/>
          <w:b/>
          <w:bCs/>
          <w:color w:val="000000"/>
          <w:sz w:val="19"/>
          <w:szCs w:val="19"/>
        </w:rPr>
        <w:t xml:space="preserve">BI &amp; Reporting Tools: </w:t>
      </w:r>
      <w:r>
        <w:rPr>
          <w:rFonts w:ascii="Calibri" w:cs="Calibri" w:eastAsia="Calibri" w:hAnsi="Calibri"/>
          <w:b w:val="false"/>
          <w:bCs w:val="false"/>
          <w:color w:val="000000"/>
          <w:sz w:val="19"/>
          <w:szCs w:val="19"/>
        </w:rPr>
        <w:t xml:space="preserve">Looker/LookML, Power BI Desktop/Service/Premium, Tableau Desktop/Server, MicroStrategy, SSRS, Qlik Sense</w:t>
      </w:r>
    </w:p>
    <w:p>
      <w:pPr>
        <w:spacing w:after="60"/>
      </w:pPr>
      <w:r>
        <w:rPr>
          <w:rFonts w:ascii="Calibri" w:cs="Calibri" w:eastAsia="Calibri" w:hAnsi="Calibri"/>
          <w:b/>
          <w:bCs/>
          <w:color w:val="000000"/>
          <w:sz w:val="19"/>
          <w:szCs w:val="19"/>
        </w:rPr>
        <w:t xml:space="preserve">Data Engineering &amp; ETL: </w:t>
      </w:r>
      <w:r>
        <w:rPr>
          <w:rFonts w:ascii="Calibri" w:cs="Calibri" w:eastAsia="Calibri" w:hAnsi="Calibri"/>
          <w:b w:val="false"/>
          <w:bCs w:val="false"/>
          <w:color w:val="000000"/>
          <w:sz w:val="19"/>
          <w:szCs w:val="19"/>
        </w:rPr>
        <w:t xml:space="preserve">Snowflake (Enterprise, Snowpark, Dynamic Tables), dbt Core/Cloud 1.6.x, Apache Airflow 2.x, Azure Data Factory v2, Informatica PowerCenter 10.x, IBM DataStage 11.x, Apache Spark, Databricks, Fivetran</w:t>
      </w:r>
    </w:p>
    <w:p>
      <w:pPr>
        <w:spacing w:after="60"/>
      </w:pPr>
      <w:r>
        <w:rPr>
          <w:rFonts w:ascii="Calibri" w:cs="Calibri" w:eastAsia="Calibri" w:hAnsi="Calibri"/>
          <w:b/>
          <w:bCs/>
          <w:color w:val="000000"/>
          <w:sz w:val="19"/>
          <w:szCs w:val="19"/>
        </w:rPr>
        <w:t xml:space="preserve">Streaming &amp; Messaging: </w:t>
      </w:r>
      <w:r>
        <w:rPr>
          <w:rFonts w:ascii="Calibri" w:cs="Calibri" w:eastAsia="Calibri" w:hAnsi="Calibri"/>
          <w:b w:val="false"/>
          <w:bCs w:val="false"/>
          <w:color w:val="000000"/>
          <w:sz w:val="19"/>
          <w:szCs w:val="19"/>
        </w:rPr>
        <w:t xml:space="preserve">Apache Kafka, Confluent Platform, Azure Event Hubs, AWS Kinesis, Spark Structured Streaming, Databricks Delta Live Tables, Apache Flink</w:t>
      </w:r>
    </w:p>
    <w:p>
      <w:pPr>
        <w:spacing w:after="60"/>
      </w:pPr>
      <w:r>
        <w:rPr>
          <w:rFonts w:ascii="Calibri" w:cs="Calibri" w:eastAsia="Calibri" w:hAnsi="Calibri"/>
          <w:b/>
          <w:bCs/>
          <w:color w:val="000000"/>
          <w:sz w:val="19"/>
          <w:szCs w:val="19"/>
        </w:rPr>
        <w:t xml:space="preserve">Data Warehouses &amp; Databases: </w:t>
      </w:r>
      <w:r>
        <w:rPr>
          <w:rFonts w:ascii="Calibri" w:cs="Calibri" w:eastAsia="Calibri" w:hAnsi="Calibri"/>
          <w:b w:val="false"/>
          <w:bCs w:val="false"/>
          <w:color w:val="000000"/>
          <w:sz w:val="19"/>
          <w:szCs w:val="19"/>
        </w:rPr>
        <w:t xml:space="preserve">Snowflake Enterprise, Databricks Delta Lake, Azure Synapse Analytics, Teradata Vantage 17.x, Oracle Exadata 19c, Microsoft SQL Server 2022, GCP BigQuery, Amazon Redshift</w:t>
      </w:r>
    </w:p>
    <w:p>
      <w:pPr>
        <w:spacing w:after="60"/>
      </w:pPr>
      <w:r>
        <w:rPr>
          <w:rFonts w:ascii="Calibri" w:cs="Calibri" w:eastAsia="Calibri" w:hAnsi="Calibri"/>
          <w:b/>
          <w:bCs/>
          <w:color w:val="000000"/>
          <w:sz w:val="19"/>
          <w:szCs w:val="19"/>
        </w:rPr>
        <w:t xml:space="preserve">Cloud Platforms: </w:t>
      </w:r>
      <w:r>
        <w:rPr>
          <w:rFonts w:ascii="Calibri" w:cs="Calibri" w:eastAsia="Calibri" w:hAnsi="Calibri"/>
          <w:b w:val="false"/>
          <w:bCs w:val="false"/>
          <w:color w:val="000000"/>
          <w:sz w:val="19"/>
          <w:szCs w:val="19"/>
        </w:rPr>
        <w:t xml:space="preserve">Microsoft Azure (Synapse, ADF, ADLS Gen2, Event Hubs, Databricks, DevOps), AWS (Redshift, Glue, S3, MSK, MWAA), GCP (BigQuery, Pub/Sub, Cloud Composer)</w:t>
      </w:r>
    </w:p>
    <w:p>
      <w:pPr>
        <w:spacing w:after="60"/>
      </w:pPr>
      <w:r>
        <w:rPr>
          <w:rFonts w:ascii="Calibri" w:cs="Calibri" w:eastAsia="Calibri" w:hAnsi="Calibri"/>
          <w:b/>
          <w:bCs/>
          <w:color w:val="000000"/>
          <w:sz w:val="19"/>
          <w:szCs w:val="19"/>
        </w:rPr>
        <w:t xml:space="preserve">Data Governance: </w:t>
      </w:r>
      <w:r>
        <w:rPr>
          <w:rFonts w:ascii="Calibri" w:cs="Calibri" w:eastAsia="Calibri" w:hAnsi="Calibri"/>
          <w:b w:val="false"/>
          <w:bCs w:val="false"/>
          <w:color w:val="000000"/>
          <w:sz w:val="19"/>
          <w:szCs w:val="19"/>
        </w:rPr>
        <w:t xml:space="preserve">Collibra Data Intelligence Cloud, Monte Carlo, IBM Watson Knowledge Catalog, FCC/CPNI/CCPA/GDPR compliance frameworks</w:t>
      </w:r>
    </w:p>
    <w:p>
      <w:pPr>
        <w:spacing w:after="60"/>
      </w:pPr>
      <w:r>
        <w:rPr>
          <w:rFonts w:ascii="Calibri" w:cs="Calibri" w:eastAsia="Calibri" w:hAnsi="Calibri"/>
          <w:b/>
          <w:bCs/>
          <w:color w:val="000000"/>
          <w:sz w:val="19"/>
          <w:szCs w:val="19"/>
        </w:rPr>
        <w:t xml:space="preserve">Data Modeling: </w:t>
      </w:r>
      <w:r>
        <w:rPr>
          <w:rFonts w:ascii="Calibri" w:cs="Calibri" w:eastAsia="Calibri" w:hAnsi="Calibri"/>
          <w:b w:val="false"/>
          <w:bCs w:val="false"/>
          <w:color w:val="000000"/>
          <w:sz w:val="19"/>
          <w:szCs w:val="19"/>
        </w:rPr>
        <w:t xml:space="preserve">Medallion Architecture, Kimball Dimensional Modeling, Data Vault 2.0, Star Schema, SCD Types 1/2/3, Erwin</w:t>
      </w:r>
    </w:p>
    <w:p>
      <w:pPr>
        <w:spacing w:after="60"/>
      </w:pPr>
      <w:r>
        <w:rPr>
          <w:rFonts w:ascii="Calibri" w:cs="Calibri" w:eastAsia="Calibri" w:hAnsi="Calibri"/>
          <w:b/>
          <w:bCs/>
          <w:color w:val="000000"/>
          <w:sz w:val="19"/>
          <w:szCs w:val="19"/>
        </w:rPr>
        <w:t xml:space="preserve">Programming Languages: </w:t>
      </w:r>
      <w:r>
        <w:rPr>
          <w:rFonts w:ascii="Calibri" w:cs="Calibri" w:eastAsia="Calibri" w:hAnsi="Calibri"/>
          <w:b w:val="false"/>
          <w:bCs w:val="false"/>
          <w:color w:val="000000"/>
          <w:sz w:val="19"/>
          <w:szCs w:val="19"/>
        </w:rPr>
        <w:t xml:space="preserve">Python 3.x (PySpark, pandas, scikit-learn, kafka-python), SQL, Scala, SparkSQL, T-SQL, PL/SQL, DAX, LookML</w:t>
      </w:r>
    </w:p>
    <w:p>
      <w:pPr>
        <w:spacing w:after="60"/>
      </w:pPr>
      <w:r>
        <w:rPr>
          <w:rFonts w:ascii="Calibri" w:cs="Calibri" w:eastAsia="Calibri" w:hAnsi="Calibri"/>
          <w:b/>
          <w:bCs/>
          <w:color w:val="000000"/>
          <w:sz w:val="19"/>
          <w:szCs w:val="19"/>
        </w:rPr>
        <w:t xml:space="preserve">Data Quality &amp; Observability: </w:t>
      </w:r>
      <w:r>
        <w:rPr>
          <w:rFonts w:ascii="Calibri" w:cs="Calibri" w:eastAsia="Calibri" w:hAnsi="Calibri"/>
          <w:b w:val="false"/>
          <w:bCs w:val="false"/>
          <w:color w:val="000000"/>
          <w:sz w:val="19"/>
          <w:szCs w:val="19"/>
        </w:rPr>
        <w:t xml:space="preserve">Monte Carlo, Great Expectations, dbt Tests, Soda Core</w:t>
      </w:r>
    </w:p>
    <w:p>
      <w:pPr>
        <w:spacing w:after="60"/>
      </w:pPr>
      <w:r>
        <w:rPr>
          <w:rFonts w:ascii="Calibri" w:cs="Calibri" w:eastAsia="Calibri" w:hAnsi="Calibri"/>
          <w:b/>
          <w:bCs/>
          <w:color w:val="000000"/>
          <w:sz w:val="19"/>
          <w:szCs w:val="19"/>
        </w:rPr>
        <w:t xml:space="preserve">DevOps &amp; Infrastructure: </w:t>
      </w:r>
      <w:r>
        <w:rPr>
          <w:rFonts w:ascii="Calibri" w:cs="Calibri" w:eastAsia="Calibri" w:hAnsi="Calibri"/>
          <w:b w:val="false"/>
          <w:bCs w:val="false"/>
          <w:color w:val="000000"/>
          <w:sz w:val="19"/>
          <w:szCs w:val="19"/>
        </w:rPr>
        <w:t xml:space="preserve">Terraform, Docker, Kubernetes, GitHub Actions, CI/CD, Confluent Cloud</w:t>
      </w:r>
    </w:p>
    <w:p>
      <w:pPr>
        <w:spacing w:after="60"/>
      </w:pPr>
      <w:r>
        <w:rPr>
          <w:rFonts w:ascii="Calibri" w:cs="Calibri" w:eastAsia="Calibri" w:hAnsi="Calibri"/>
          <w:b/>
          <w:bCs/>
          <w:color w:val="000000"/>
          <w:sz w:val="19"/>
          <w:szCs w:val="19"/>
        </w:rPr>
        <w:t xml:space="preserve">Methodologies: </w:t>
      </w:r>
      <w:r>
        <w:rPr>
          <w:rFonts w:ascii="Calibri" w:cs="Calibri" w:eastAsia="Calibri" w:hAnsi="Calibri"/>
          <w:b w:val="false"/>
          <w:bCs w:val="false"/>
          <w:color w:val="000000"/>
          <w:sz w:val="19"/>
          <w:szCs w:val="19"/>
        </w:rPr>
        <w:t xml:space="preserve">Agile/Scrum, SAFe, DataOps, Data Mesh, Medallion Architecture</w:t>
      </w:r>
    </w:p>
    <w:p>
      <w:pPr>
        <w:pBdr>
          <w:bottom w:val="single" w:color="000000" w:sz="8" w:space="1"/>
        </w:pBdr>
        <w:spacing w:after="80" w:before="240"/>
      </w:pPr>
      <w:r>
        <w:rPr>
          <w:rFonts w:ascii="Calibri" w:cs="Calibri" w:eastAsia="Calibri" w:hAnsi="Calibri"/>
          <w:b/>
          <w:bCs/>
          <w:color w:val="000000"/>
          <w:sz w:val="22"/>
          <w:szCs w:val="22"/>
        </w:rPr>
        <w:t xml:space="preserve">CERTIFICATIONS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Snowflake SnowPro Advanced: Data Engineer – Snowflake,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Snowflake SnowPro Core Certification – Snowflake,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dbt Certified Developer – dbt Labs,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Databricks Certified Associate Developer for Apache Spark 3.0 – Databricks,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Confluent Certified Developer for Apache Kafka – Confluent,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Azure Data Engineer Associate (DP-203) – Microsoft,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Looker Certified LookML Developer – Google/Looker, 2023</w:t>
      </w:r>
    </w:p>
    <w:p>
      <w:pPr>
        <w:pBdr>
          <w:bottom w:val="single" w:color="000000" w:sz="8" w:space="1"/>
        </w:pBdr>
        <w:spacing w:after="80" w:before="240"/>
      </w:pPr>
      <w:r>
        <w:rPr>
          <w:rFonts w:ascii="Calibri" w:cs="Calibri" w:eastAsia="Calibri" w:hAnsi="Calibri"/>
          <w:b/>
          <w:bCs/>
          <w:color w:val="000000"/>
          <w:sz w:val="22"/>
          <w:szCs w:val="22"/>
        </w:rPr>
        <w:t xml:space="preserve">PROFESSIONAL EXPERIENCE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Comcast Corporation (NBCUniversal)</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Philadelphia, PA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DATA ENGINEER / SNOWFLAKE ARCHITECT</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June 2023 – Present</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Architected enterprise Snowflake data platform with Medallion architecture (Bronze/Silver/Gold) for subscriber, content, advertising, and network domains, processing 10+ billion daily set-top-box events, streaming viewership signals, and ad impression records for Comcast's 32 million subscriber base.</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dbt Core 1.6 transformation pipelines on Snowflake for subscriber lifecycle, content consumption, advertising effectiveness, and broadband usage analytics, with 500+ automated schema tests, singular tests, freshness assertions, and auto-generated dbt documentation.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Looker LookML models and Power BI dashboards for subscriber acquisition and churn, ARPU, VOD/linear content performance, broadband speed tier analytics, and advertising CPM reporting for 1,000+ commercial and product operations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real-time Apache Kafka streaming pipelines using Confluent Platform for set-top-box event processing, ad impression tracking, and network health monitoring, achieving 5-minute end-to-end latency for viewership and advertising dashboards using Spark Structured Streaming.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Collibra and Monte Carlo governance, managing FCC, CPNI, and CCPA compliance metadata, automated lineage from Airflow DAGs and dbt manifests, and quality monitors across 350+ pipeline assets with PagerDuty and Slack alerting integration.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Orchestrated data pipelines using Apache Airflow 2.x, managing 500+ DAG tasks for subscriber management, billing, content delivery, and MVPD data partner feeds with comprehensive SLA monitoring, retry logic, and audit logging.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Snowpark Python stored procedures and Snowflake Dynamic Tables for incremental subscriber state management, reducing pipeline complexity and enabling sub-15-minute SLA for subscriber KPI updates consumed by customer service dashboards.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Snowflake migration from on-premises Teradata Vantage, converting 3,000+ BTEQ scripts and 200+ IBM DataStage jobs to dbt models and Snowflake native patterns, achieving 52% reduction in analytical query costs and 70% reduction in ETL infrastructure overhead.</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Terraform infrastructure-as-code templates for Snowflake environment provisioning, Airflow DAG deployment, and Confluent cluster management, enabling repeatable multi-environment deployments through GitHub Actions CI/CD pipelines.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Mentored a team of 4 data engineers, establishing Snowflake and dbt engineering standards, code review workflows, and DataOps practices that improved pipeline delivery velocity by 35% over two quarters.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Snowflake Enterprise/Snowpark, dbt Core 1.6, Apache Airflow 2.x, Apache Kafka/Confluent Platform, Spark Structured Streaming, Databricks, Looker/LookML, Power BI Premium, Azure Data Factory v2, Collibra, Monte Carlo, Python 3.x, PySpark, Terraform, GitHub Actions, Jira, Confluence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Charter Communications (Spectrum)</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Stamford, CT</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BI DEVELOPER / DATA WAREHOUSE ENGINEER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October 2020 – May 2023</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Snowflake data warehouse with dbt transformation models for customer, billing, video-on-demand, broadband, and wireless analytics at Charter, integrating subscriber management, billing, and content delivery system data for 32 million Spectrum subscribers.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and Power BI Premium dashboards for subscriber churn, ARPU, VOD content performance, broadband utilization, and mobile line growth integrated with Snowflake and Azure Synapse data sources for 800+ business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Azure Data Factory and Airflow orchestrated pipelines ingesting data from ICOMS subscriber management, CSG billing, TiVo content delivery, and Salesforce CRM systems with comprehensive error handling and reconciliation.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IBM Watson Knowledge Catalog for CPNI and CCPA dataset cataloging, automating sensitivity classification and lineage documentation for regulatory compliance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Python data validation frameworks automating reconciliation between subscriber management system source counts and Snowflake analytical layer, achieving 99.95% data accuracy for subscriber KPI reporting.</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Snowflake, dbt Core, Apache Airflow, Azure Data Factory, Tableau Desktop/Server, Power BI Premium, Python 3.x, IBM Watson Knowledge Catalog, Azure Synapse, SQL,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Dish Network / DISH TV</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Englewood, CO</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DATA WAREHOUSE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July 2017 – September 2020</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Teradata Vantage data warehouse for subscriber, pay-per-view, set-top-box, and advertising analytics, building star schema models for customer, content, and revenue domains.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IBM DataStage pipelines for ingestion from billing, set-top-box event, CRM, and content provider systems into Teradata dimensional layers for subscriber lifecycle and retention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and MicroStrategy dashboards for subscriber retention, churn prediction scoring, pay-per-view revenue, and advertising effectiveness reports for commercial and marketing leadership.</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Teradata Vantage 16.x, IBM DataStage 11.x, Tableau Desktop/Server, MicroStrategy 10.x, Informatica PowerCenter 10.x, SQL, BTEQ, Erwin Data Modeler,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Hexaware Technologies (Client: Comcast India)</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Mumbai, India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ETL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September 2014 – June 2017</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9.x mappings for SAP ECC and Oracle data extraction into Microsoft SQL Server data warehouse for billing and subscriber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SSRS parameterized reports and SAP BusinessObjects Webi dashboards for operational and subscriber management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Created SSIS packages with incremental loading and error handling for Oracle transactional system data feeds.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Informatica PowerCenter 9.x, SAP ECC, Oracle 11g, Microsoft SQL Server 2012, SSIS 2012, SSRS 2012, SAP BusinessObjects 4.x, SQL, PL/SQL, T-SQL</w:t>
      </w:r>
    </w:p>
    <w:p>
      <w:pPr>
        <w:pBdr>
          <w:bottom w:val="single" w:color="000000" w:sz="8" w:space="1"/>
        </w:pBdr>
        <w:spacing w:after="80" w:before="240"/>
      </w:pPr>
      <w:r>
        <w:rPr>
          <w:rFonts w:ascii="Calibri" w:cs="Calibri" w:eastAsia="Calibri" w:hAnsi="Calibri"/>
          <w:b/>
          <w:bCs/>
          <w:color w:val="000000"/>
          <w:sz w:val="22"/>
          <w:szCs w:val="22"/>
        </w:rPr>
        <w:t xml:space="preserve">EDUCATION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Master of Science (MS) | Data Analytics | LeBow College of Business, Drexel University | Philadelphia, PA | August 2012 – May 2014 | GPA: 3.8/4.0</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Bachelor of Technology (B.Tech) | Information Technology | JNTU Kakinada | Kakinada, Andhra Pradesh, India | June 2008 – May 2012 | First Class with Distinction</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2026-04-18T19:42:24.070Z</dcterms:created>
  <dcterms:modified xsi:type="dcterms:W3CDTF">2026-04-18T19:42:24.070Z</dcterms:modified>
</cp:coreProperties>
</file>

<file path=docProps/custom.xml><?xml version="1.0" encoding="utf-8"?>
<Properties xmlns="http://schemas.openxmlformats.org/officeDocument/2006/custom-properties" xmlns:vt="http://schemas.openxmlformats.org/officeDocument/2006/docPropsVTypes"/>
</file>